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54" w:rsidRPr="00AF2D54" w:rsidRDefault="00AF2D54" w:rsidP="00AF2D54">
      <w:pPr>
        <w:spacing w:line="180" w:lineRule="exact"/>
        <w:jc w:val="right"/>
        <w:rPr>
          <w:sz w:val="16"/>
          <w:szCs w:val="16"/>
          <w:lang w:val="en-US"/>
        </w:rPr>
      </w:pPr>
      <w:r w:rsidRPr="00AF2D54">
        <w:rPr>
          <w:color w:val="FF0000"/>
          <w:sz w:val="12"/>
          <w:szCs w:val="12"/>
          <w:lang w:val="en-US"/>
        </w:rPr>
        <w:t>Times New Roman 8/9,</w:t>
      </w:r>
      <w:r w:rsidR="00CD6053">
        <w:rPr>
          <w:color w:val="FF0000"/>
          <w:sz w:val="12"/>
          <w:szCs w:val="12"/>
          <w:lang w:val="en-US"/>
        </w:rPr>
        <w:t xml:space="preserve"> </w:t>
      </w:r>
      <w:r>
        <w:rPr>
          <w:color w:val="FF0000"/>
          <w:sz w:val="12"/>
          <w:szCs w:val="12"/>
          <w:lang w:val="en-US"/>
        </w:rPr>
        <w:t>space</w:t>
      </w:r>
      <w:r w:rsidRPr="00AF2D54">
        <w:rPr>
          <w:color w:val="FF0000"/>
          <w:sz w:val="12"/>
          <w:szCs w:val="12"/>
          <w:lang w:val="en-US"/>
        </w:rPr>
        <w:t xml:space="preserve"> 36</w:t>
      </w:r>
      <w:r>
        <w:rPr>
          <w:color w:val="FF0000"/>
          <w:sz w:val="12"/>
          <w:szCs w:val="12"/>
          <w:lang w:val="en-US"/>
        </w:rPr>
        <w:t xml:space="preserve"> </w:t>
      </w:r>
      <w:r w:rsidRPr="00AF2D54">
        <w:rPr>
          <w:color w:val="FF0000"/>
          <w:sz w:val="12"/>
          <w:szCs w:val="12"/>
          <w:lang w:val="en-US"/>
        </w:rPr>
        <w:t>pt , aligned right</w:t>
      </w:r>
      <w:r w:rsidR="00990B82">
        <w:rPr>
          <w:sz w:val="16"/>
          <w:szCs w:val="16"/>
          <w:lang w:val="en-US"/>
        </w:rPr>
        <w:t xml:space="preserve"> Drewno …, V</w:t>
      </w:r>
      <w:r w:rsidRPr="00AF2D54">
        <w:rPr>
          <w:sz w:val="16"/>
          <w:szCs w:val="16"/>
          <w:lang w:val="en-US"/>
        </w:rPr>
        <w:t xml:space="preserve">ol. …, </w:t>
      </w:r>
      <w:r w:rsidR="00990B82">
        <w:rPr>
          <w:sz w:val="16"/>
          <w:szCs w:val="16"/>
          <w:lang w:val="en-US"/>
        </w:rPr>
        <w:t xml:space="preserve">No. </w:t>
      </w:r>
      <w:r w:rsidRPr="00AF2D54">
        <w:rPr>
          <w:sz w:val="16"/>
          <w:szCs w:val="16"/>
          <w:lang w:val="en-US"/>
        </w:rPr>
        <w:t>….</w:t>
      </w:r>
    </w:p>
    <w:p w:rsidR="00AF2D54" w:rsidRPr="00AF2D54" w:rsidRDefault="00AF2D54" w:rsidP="00AF2D54">
      <w:pPr>
        <w:spacing w:after="720" w:line="180" w:lineRule="exact"/>
        <w:jc w:val="right"/>
        <w:rPr>
          <w:sz w:val="16"/>
          <w:szCs w:val="16"/>
          <w:lang w:val="en-US"/>
        </w:rPr>
      </w:pPr>
      <w:r w:rsidRPr="00AF2D54">
        <w:rPr>
          <w:sz w:val="16"/>
          <w:szCs w:val="16"/>
          <w:lang w:val="en-US"/>
        </w:rPr>
        <w:t>DOI: 10.12841/wood.1644-3985.xxx.xx</w:t>
      </w:r>
    </w:p>
    <w:p w:rsidR="00873A72" w:rsidRPr="001F48B9" w:rsidRDefault="00764414" w:rsidP="003B399C">
      <w:pPr>
        <w:spacing w:after="480"/>
        <w:rPr>
          <w:b/>
          <w:bCs/>
          <w:lang w:val="en-GB"/>
        </w:rPr>
      </w:pPr>
      <w:r>
        <w:rPr>
          <w:b/>
          <w:bCs/>
          <w:lang w:val="en-GB"/>
        </w:rPr>
        <w:t>Jan</w:t>
      </w:r>
      <w:r w:rsidR="00873A72" w:rsidRPr="001F48B9">
        <w:rPr>
          <w:b/>
          <w:bCs/>
          <w:lang w:val="en-GB"/>
        </w:rPr>
        <w:t xml:space="preserve"> </w:t>
      </w:r>
      <w:r w:rsidR="00B1050C">
        <w:rPr>
          <w:b/>
          <w:bCs/>
          <w:smallCaps/>
          <w:lang w:val="en-GB"/>
        </w:rPr>
        <w:t>Kowalsk</w:t>
      </w:r>
      <w:r>
        <w:rPr>
          <w:b/>
          <w:bCs/>
          <w:smallCaps/>
          <w:lang w:val="en-GB"/>
        </w:rPr>
        <w:t>i</w:t>
      </w:r>
      <w:r w:rsidR="007F19AF">
        <w:rPr>
          <w:b/>
          <w:bCs/>
          <w:smallCaps/>
          <w:lang w:val="en-GB"/>
        </w:rPr>
        <w:t>,</w:t>
      </w:r>
      <w:r w:rsidR="00B1050C">
        <w:rPr>
          <w:b/>
          <w:bCs/>
          <w:smallCaps/>
          <w:lang w:val="en-GB"/>
        </w:rPr>
        <w:t xml:space="preserve"> </w:t>
      </w:r>
      <w:r>
        <w:rPr>
          <w:b/>
          <w:bCs/>
          <w:lang w:val="en-GB"/>
        </w:rPr>
        <w:t>Krystyna</w:t>
      </w:r>
      <w:r w:rsidR="007F19AF" w:rsidRPr="001F48B9">
        <w:rPr>
          <w:b/>
          <w:bCs/>
          <w:lang w:val="en-GB"/>
        </w:rPr>
        <w:t xml:space="preserve"> </w:t>
      </w:r>
      <w:r w:rsidR="00B1050C">
        <w:rPr>
          <w:b/>
          <w:bCs/>
          <w:smallCaps/>
          <w:lang w:val="en-GB"/>
        </w:rPr>
        <w:t>Nowak</w:t>
      </w:r>
      <w:r w:rsidR="007F19AF">
        <w:rPr>
          <w:b/>
          <w:bCs/>
          <w:smallCaps/>
          <w:lang w:val="en-GB"/>
        </w:rPr>
        <w:t xml:space="preserve">, </w:t>
      </w:r>
      <w:r w:rsidR="00B1050C">
        <w:rPr>
          <w:b/>
          <w:bCs/>
          <w:lang w:val="en-GB"/>
        </w:rPr>
        <w:t>Adam</w:t>
      </w:r>
      <w:r w:rsidR="007F19AF" w:rsidRPr="001F48B9">
        <w:rPr>
          <w:b/>
          <w:bCs/>
          <w:lang w:val="en-GB"/>
        </w:rPr>
        <w:t xml:space="preserve"> </w:t>
      </w:r>
      <w:r w:rsidR="00B1050C">
        <w:rPr>
          <w:b/>
          <w:bCs/>
          <w:smallCaps/>
          <w:lang w:val="en-GB"/>
        </w:rPr>
        <w:t>Adamski</w:t>
      </w:r>
      <w:r w:rsidR="007F19AF" w:rsidRPr="001F48B9">
        <w:rPr>
          <w:rStyle w:val="Odwoanieprzypisudolnego"/>
          <w:b/>
          <w:bCs/>
          <w:smallCaps/>
          <w:lang w:val="en-GB"/>
        </w:rPr>
        <w:t xml:space="preserve"> </w:t>
      </w:r>
      <w:r w:rsidR="00873A72" w:rsidRPr="001F48B9">
        <w:rPr>
          <w:rStyle w:val="Odwoanieprzypisudolnego"/>
          <w:b/>
          <w:bCs/>
          <w:smallCaps/>
          <w:lang w:val="en-GB"/>
        </w:rPr>
        <w:footnoteReference w:customMarkFollows="1" w:id="1"/>
        <w:sym w:font="Symbol" w:char="F020"/>
      </w:r>
      <w:r w:rsidR="00873A72" w:rsidRPr="001F48B9">
        <w:rPr>
          <w:color w:val="FF0000"/>
          <w:sz w:val="12"/>
          <w:szCs w:val="12"/>
          <w:lang w:val="en-GB"/>
        </w:rPr>
        <w:t xml:space="preserve"> Times New Roman</w:t>
      </w:r>
      <w:r w:rsidR="00873A72" w:rsidRPr="001F48B9">
        <w:rPr>
          <w:smallCaps/>
          <w:color w:val="FF0000"/>
          <w:sz w:val="12"/>
          <w:szCs w:val="12"/>
          <w:lang w:val="en-GB"/>
        </w:rPr>
        <w:t xml:space="preserve"> 12 </w:t>
      </w:r>
      <w:r w:rsidR="00873A72" w:rsidRPr="001F48B9">
        <w:rPr>
          <w:color w:val="FF0000"/>
          <w:sz w:val="12"/>
          <w:szCs w:val="12"/>
          <w:lang w:val="en-GB"/>
        </w:rPr>
        <w:t>pt., in bold face</w:t>
      </w:r>
      <w:r w:rsidR="00873A72" w:rsidRPr="001F48B9">
        <w:rPr>
          <w:b/>
          <w:bCs/>
          <w:color w:val="FF0000"/>
          <w:sz w:val="12"/>
          <w:szCs w:val="12"/>
          <w:lang w:val="en-GB"/>
        </w:rPr>
        <w:t xml:space="preserve"> </w:t>
      </w:r>
    </w:p>
    <w:p w:rsidR="00873A72" w:rsidRPr="001F48B9" w:rsidRDefault="00873A72" w:rsidP="003B399C">
      <w:pPr>
        <w:rPr>
          <w:b/>
          <w:bCs/>
          <w:caps/>
          <w:sz w:val="26"/>
          <w:szCs w:val="26"/>
          <w:lang w:val="en-GB"/>
        </w:rPr>
      </w:pPr>
      <w:r w:rsidRPr="001F48B9">
        <w:rPr>
          <w:b/>
          <w:bCs/>
          <w:caps/>
          <w:sz w:val="26"/>
          <w:szCs w:val="26"/>
          <w:lang w:val="en-GB"/>
        </w:rPr>
        <w:t xml:space="preserve">TITLE </w:t>
      </w:r>
      <w:r w:rsidRPr="001F48B9">
        <w:rPr>
          <w:caps/>
          <w:color w:val="FF0000"/>
          <w:sz w:val="12"/>
          <w:szCs w:val="12"/>
          <w:lang w:val="en-GB"/>
        </w:rPr>
        <w:t>T</w:t>
      </w:r>
      <w:r w:rsidRPr="001F48B9">
        <w:rPr>
          <w:color w:val="FF0000"/>
          <w:sz w:val="12"/>
          <w:szCs w:val="12"/>
          <w:lang w:val="en-GB"/>
        </w:rPr>
        <w:t>imes</w:t>
      </w:r>
      <w:r w:rsidRPr="001F48B9">
        <w:rPr>
          <w:caps/>
          <w:color w:val="FF0000"/>
          <w:sz w:val="12"/>
          <w:szCs w:val="12"/>
          <w:lang w:val="en-GB"/>
        </w:rPr>
        <w:t xml:space="preserve"> N</w:t>
      </w:r>
      <w:r w:rsidRPr="001F48B9">
        <w:rPr>
          <w:color w:val="FF0000"/>
          <w:sz w:val="12"/>
          <w:szCs w:val="12"/>
          <w:lang w:val="en-GB"/>
        </w:rPr>
        <w:t>ew</w:t>
      </w:r>
      <w:r w:rsidRPr="001F48B9">
        <w:rPr>
          <w:caps/>
          <w:color w:val="FF0000"/>
          <w:sz w:val="12"/>
          <w:szCs w:val="12"/>
          <w:lang w:val="en-GB"/>
        </w:rPr>
        <w:t xml:space="preserve"> R</w:t>
      </w:r>
      <w:r w:rsidRPr="001F48B9">
        <w:rPr>
          <w:color w:val="FF0000"/>
          <w:sz w:val="12"/>
          <w:szCs w:val="12"/>
          <w:lang w:val="en-GB"/>
        </w:rPr>
        <w:t>oman</w:t>
      </w:r>
      <w:r w:rsidRPr="001F48B9">
        <w:rPr>
          <w:caps/>
          <w:color w:val="FF0000"/>
          <w:sz w:val="12"/>
          <w:szCs w:val="12"/>
          <w:lang w:val="en-GB"/>
        </w:rPr>
        <w:t xml:space="preserve"> 13 </w:t>
      </w:r>
      <w:r w:rsidRPr="001F48B9">
        <w:rPr>
          <w:color w:val="FF0000"/>
          <w:sz w:val="12"/>
          <w:szCs w:val="12"/>
          <w:lang w:val="en-GB"/>
        </w:rPr>
        <w:t>pt., in bold face, aligned left</w:t>
      </w:r>
    </w:p>
    <w:p w:rsidR="00873A72" w:rsidRPr="001F48B9" w:rsidRDefault="00A7500E" w:rsidP="003B399C">
      <w:pPr>
        <w:spacing w:before="720"/>
        <w:ind w:left="851"/>
        <w:jc w:val="both"/>
        <w:rPr>
          <w:i/>
          <w:iCs/>
          <w:sz w:val="19"/>
          <w:szCs w:val="19"/>
          <w:lang w:val="en-GB"/>
        </w:rPr>
      </w:pPr>
      <w:r w:rsidRPr="00A7500E">
        <w:rPr>
          <w:noProof/>
        </w:rPr>
        <w:pict>
          <v:shapetype id="_x0000_t202" coordsize="21600,21600" o:spt="202" path="m,l,21600r21600,l21600,xe">
            <v:stroke joinstyle="miter"/>
            <v:path gradientshapeok="t" o:connecttype="rect"/>
          </v:shapetype>
          <v:shape id="_x0000_s1028" type="#_x0000_t202" style="position:absolute;left:0;text-align:left;margin-left:-2.05pt;margin-top:37.25pt;width:38.35pt;height:46.5pt;z-index:251655680" o:allowincell="f" stroked="f">
            <v:textbox style="mso-next-textbox:#_x0000_s1028" inset=".34mm,0,.34mm,0">
              <w:txbxContent>
                <w:p w:rsidR="00873A72" w:rsidRPr="000425AE" w:rsidRDefault="00873A72" w:rsidP="003B399C">
                  <w:pPr>
                    <w:rPr>
                      <w:sz w:val="12"/>
                      <w:szCs w:val="12"/>
                      <w:lang w:val="en-US"/>
                    </w:rPr>
                  </w:pPr>
                  <w:r w:rsidRPr="000425AE">
                    <w:rPr>
                      <w:color w:val="FF0000"/>
                      <w:sz w:val="12"/>
                      <w:szCs w:val="12"/>
                      <w:lang w:val="en-US"/>
                    </w:rPr>
                    <w:t>Times New Roman 9.5 pt., italic</w:t>
                  </w:r>
                  <w:r>
                    <w:rPr>
                      <w:color w:val="FF0000"/>
                      <w:sz w:val="12"/>
                      <w:szCs w:val="12"/>
                      <w:lang w:val="en-US"/>
                    </w:rPr>
                    <w:t>s</w:t>
                  </w:r>
                  <w:r w:rsidRPr="000425AE">
                    <w:rPr>
                      <w:color w:val="FF0000"/>
                      <w:sz w:val="12"/>
                      <w:szCs w:val="12"/>
                      <w:lang w:val="en-US"/>
                    </w:rPr>
                    <w:t>, left indentation 15 mm</w:t>
                  </w:r>
                </w:p>
              </w:txbxContent>
            </v:textbox>
            <w10:wrap type="square"/>
          </v:shape>
        </w:pict>
      </w:r>
      <w:r w:rsidR="00873A72" w:rsidRPr="001F48B9">
        <w:rPr>
          <w:i/>
          <w:iCs/>
          <w:sz w:val="19"/>
          <w:szCs w:val="19"/>
          <w:lang w:val="en-GB"/>
        </w:rPr>
        <w:t>Abstract is few-sentence information on the subject matter and the results of research.</w:t>
      </w:r>
    </w:p>
    <w:p w:rsidR="00873A72" w:rsidRPr="001F48B9" w:rsidRDefault="00873A72" w:rsidP="003B399C">
      <w:pPr>
        <w:spacing w:before="240"/>
        <w:ind w:left="2381" w:hanging="1474"/>
        <w:jc w:val="both"/>
        <w:rPr>
          <w:b/>
          <w:bCs/>
          <w:sz w:val="19"/>
          <w:szCs w:val="19"/>
          <w:lang w:val="en-GB"/>
        </w:rPr>
      </w:pPr>
    </w:p>
    <w:p w:rsidR="00873A72" w:rsidRPr="001F48B9" w:rsidRDefault="00873A72" w:rsidP="00F77F53">
      <w:pPr>
        <w:spacing w:before="240"/>
        <w:ind w:left="1980" w:hanging="1980"/>
        <w:jc w:val="both"/>
        <w:rPr>
          <w:color w:val="FF0000"/>
          <w:sz w:val="12"/>
          <w:szCs w:val="12"/>
          <w:lang w:val="en-GB"/>
        </w:rPr>
      </w:pPr>
      <w:r w:rsidRPr="001F48B9">
        <w:rPr>
          <w:b/>
          <w:bCs/>
          <w:sz w:val="19"/>
          <w:szCs w:val="19"/>
          <w:lang w:val="en-GB"/>
        </w:rPr>
        <w:t>Keywords:</w:t>
      </w:r>
      <w:r>
        <w:rPr>
          <w:b/>
          <w:bCs/>
          <w:sz w:val="19"/>
          <w:szCs w:val="19"/>
          <w:lang w:val="en-GB"/>
        </w:rPr>
        <w:t xml:space="preserve"> </w:t>
      </w:r>
      <w:r w:rsidRPr="001F48B9">
        <w:rPr>
          <w:sz w:val="19"/>
          <w:szCs w:val="19"/>
          <w:lang w:val="en-GB"/>
        </w:rPr>
        <w:t>maximum eight words</w:t>
      </w:r>
      <w:r w:rsidRPr="001F48B9">
        <w:rPr>
          <w:b/>
          <w:bCs/>
          <w:sz w:val="19"/>
          <w:szCs w:val="19"/>
          <w:lang w:val="en-GB"/>
        </w:rPr>
        <w:t xml:space="preserve"> </w:t>
      </w:r>
      <w:r w:rsidRPr="001F48B9">
        <w:rPr>
          <w:sz w:val="19"/>
          <w:szCs w:val="19"/>
          <w:lang w:val="en-GB"/>
        </w:rPr>
        <w:t xml:space="preserve">(in English language) facilitating classification of the content, terms and definitions rendering the publication’s content </w:t>
      </w:r>
      <w:r w:rsidRPr="001F48B9">
        <w:rPr>
          <w:color w:val="FF0000"/>
          <w:sz w:val="12"/>
          <w:szCs w:val="12"/>
          <w:lang w:val="en-GB"/>
        </w:rPr>
        <w:t>Times New Roman 9.5 pt., left indentation 15 mm, special decreased indentation 24.8 mm, single line spacing</w:t>
      </w:r>
    </w:p>
    <w:p w:rsidR="00873A72" w:rsidRPr="001F48B9" w:rsidRDefault="00873A72" w:rsidP="003B399C">
      <w:pPr>
        <w:spacing w:before="240"/>
        <w:ind w:left="993" w:hanging="993"/>
        <w:jc w:val="both"/>
        <w:rPr>
          <w:color w:val="FF0000"/>
          <w:sz w:val="12"/>
          <w:szCs w:val="12"/>
          <w:lang w:val="en-GB"/>
        </w:rPr>
      </w:pPr>
    </w:p>
    <w:p w:rsidR="00873A72" w:rsidRPr="001F48B9" w:rsidRDefault="00873A72" w:rsidP="003B399C">
      <w:pPr>
        <w:spacing w:after="240"/>
        <w:jc w:val="both"/>
        <w:rPr>
          <w:sz w:val="19"/>
          <w:szCs w:val="19"/>
          <w:lang w:val="en-GB"/>
        </w:rPr>
      </w:pPr>
      <w:r w:rsidRPr="001F48B9">
        <w:rPr>
          <w:b/>
          <w:bCs/>
          <w:lang w:val="en-GB"/>
        </w:rPr>
        <w:t>Introduction</w:t>
      </w:r>
      <w:r w:rsidRPr="001F48B9">
        <w:rPr>
          <w:color w:val="FF0000"/>
          <w:sz w:val="12"/>
          <w:szCs w:val="12"/>
          <w:lang w:val="en-GB"/>
        </w:rPr>
        <w:t xml:space="preserve"> Times New Roman 12 pt., in bold face, aligned left</w:t>
      </w:r>
    </w:p>
    <w:p w:rsidR="00873A72" w:rsidRPr="001F48B9" w:rsidRDefault="00873A72" w:rsidP="00E977D3">
      <w:pPr>
        <w:jc w:val="both"/>
        <w:rPr>
          <w:sz w:val="22"/>
          <w:szCs w:val="22"/>
          <w:lang w:val="en-GB"/>
        </w:rPr>
      </w:pPr>
      <w:r w:rsidRPr="001F48B9">
        <w:rPr>
          <w:sz w:val="22"/>
          <w:szCs w:val="22"/>
          <w:lang w:val="en-GB"/>
        </w:rPr>
        <w:t xml:space="preserve">Beginning of the text </w:t>
      </w:r>
      <w:r>
        <w:rPr>
          <w:sz w:val="22"/>
          <w:szCs w:val="22"/>
          <w:lang w:val="en-GB"/>
        </w:rPr>
        <w:t xml:space="preserve">is </w:t>
      </w:r>
      <w:r w:rsidRPr="001F48B9">
        <w:rPr>
          <w:sz w:val="22"/>
          <w:szCs w:val="22"/>
          <w:lang w:val="en-GB"/>
        </w:rPr>
        <w:t xml:space="preserve">without indentation. </w:t>
      </w:r>
      <w:r>
        <w:rPr>
          <w:sz w:val="22"/>
          <w:szCs w:val="22"/>
          <w:lang w:val="en-GB"/>
        </w:rPr>
        <w:t>This part should be an o</w:t>
      </w:r>
      <w:r w:rsidRPr="001F48B9">
        <w:rPr>
          <w:sz w:val="22"/>
          <w:szCs w:val="22"/>
          <w:lang w:val="en-GB"/>
        </w:rPr>
        <w:t>utline of the status quo of the subject matter discussed in the publication. References to literature should be given as follows [author year], i.e. [Piotrowski 2002]; in the case two authors are quoted, their surnames and publication year should be giv</w:t>
      </w:r>
      <w:r w:rsidR="00CF034E">
        <w:rPr>
          <w:sz w:val="22"/>
          <w:szCs w:val="22"/>
          <w:lang w:val="en-GB"/>
        </w:rPr>
        <w:t xml:space="preserve">en as follows [Kowalski, Nowak </w:t>
      </w:r>
      <w:r w:rsidRPr="001F48B9">
        <w:rPr>
          <w:sz w:val="22"/>
          <w:szCs w:val="22"/>
          <w:lang w:val="en-GB"/>
        </w:rPr>
        <w:t xml:space="preserve">2004]; in the case there are </w:t>
      </w:r>
      <w:r w:rsidR="00CF034E" w:rsidRPr="001F48B9">
        <w:rPr>
          <w:sz w:val="22"/>
          <w:szCs w:val="22"/>
          <w:lang w:val="en-GB"/>
        </w:rPr>
        <w:t xml:space="preserve">three </w:t>
      </w:r>
      <w:r w:rsidR="00CF034E">
        <w:rPr>
          <w:sz w:val="22"/>
          <w:szCs w:val="22"/>
          <w:lang w:val="en-GB"/>
        </w:rPr>
        <w:t xml:space="preserve">and </w:t>
      </w:r>
      <w:r w:rsidRPr="001F48B9">
        <w:rPr>
          <w:sz w:val="22"/>
          <w:szCs w:val="22"/>
          <w:lang w:val="en-GB"/>
        </w:rPr>
        <w:t>more authors the template looks as follows [Ratajczak et al. 2005]. If the reference includes larger number of publications, then particular items are separated by a semicolon [Schmidt 2004; Bauch et al. 2007]. If few publication of the same author published in the same year are quoted, the publication year should be followed by consecutive lowercase letters of the alphabet (without space), e.g. [Nowak 1991a, 1991b, 1991c]. These marking are then repeated in the References section. If an author’s opinion is cited, their surname should be given followed by publication year in square bracket, e.g.: According to Ważny [2006], ...;</w:t>
      </w:r>
      <w:r>
        <w:rPr>
          <w:sz w:val="22"/>
          <w:szCs w:val="22"/>
          <w:lang w:val="en-GB"/>
        </w:rPr>
        <w:t xml:space="preserve"> </w:t>
      </w:r>
      <w:r w:rsidRPr="001F48B9">
        <w:rPr>
          <w:sz w:val="22"/>
          <w:szCs w:val="22"/>
          <w:lang w:val="en-GB"/>
        </w:rPr>
        <w:t>quotation of standards: [</w:t>
      </w:r>
      <w:r w:rsidR="006176A2" w:rsidRPr="006176A2">
        <w:rPr>
          <w:sz w:val="22"/>
          <w:szCs w:val="22"/>
          <w:lang w:val="en-GB"/>
        </w:rPr>
        <w:t>EN/ISO 2758:2005</w:t>
      </w:r>
      <w:r w:rsidRPr="001F48B9">
        <w:rPr>
          <w:sz w:val="22"/>
          <w:szCs w:val="22"/>
          <w:lang w:val="en-GB"/>
        </w:rPr>
        <w:t xml:space="preserve">]. </w:t>
      </w:r>
      <w:r w:rsidRPr="001F48B9">
        <w:rPr>
          <w:color w:val="FF0000"/>
          <w:sz w:val="12"/>
          <w:szCs w:val="12"/>
          <w:lang w:val="en-GB"/>
        </w:rPr>
        <w:t>Times New Roman 11 pt., justified, single line spacing</w:t>
      </w:r>
    </w:p>
    <w:p w:rsidR="00873A72" w:rsidRPr="001F48B9" w:rsidRDefault="00873A72" w:rsidP="003B399C">
      <w:pPr>
        <w:ind w:firstLine="340"/>
        <w:jc w:val="both"/>
        <w:rPr>
          <w:sz w:val="22"/>
          <w:szCs w:val="22"/>
          <w:lang w:val="en-GB"/>
        </w:rPr>
      </w:pPr>
      <w:r w:rsidRPr="001F48B9">
        <w:rPr>
          <w:sz w:val="22"/>
          <w:szCs w:val="22"/>
          <w:lang w:val="en-GB"/>
        </w:rPr>
        <w:lastRenderedPageBreak/>
        <w:t>Paragraph justified.</w:t>
      </w:r>
      <w:r w:rsidR="00CD6053">
        <w:rPr>
          <w:sz w:val="22"/>
          <w:szCs w:val="22"/>
          <w:lang w:val="en-GB"/>
        </w:rPr>
        <w:t xml:space="preserve"> </w:t>
      </w:r>
      <w:r w:rsidRPr="001F48B9">
        <w:rPr>
          <w:color w:val="FF0000"/>
          <w:sz w:val="12"/>
          <w:szCs w:val="12"/>
          <w:lang w:val="en-GB"/>
        </w:rPr>
        <w:t>Times New Roman 11 pt., justified, first line indentation 6 mm, single line spacing</w:t>
      </w:r>
    </w:p>
    <w:p w:rsidR="00873A72" w:rsidRPr="001F48B9" w:rsidRDefault="00873A72" w:rsidP="003B399C">
      <w:pPr>
        <w:spacing w:before="480" w:after="280"/>
        <w:jc w:val="both"/>
        <w:rPr>
          <w:b/>
          <w:bCs/>
          <w:lang w:val="en-GB"/>
        </w:rPr>
      </w:pPr>
      <w:r w:rsidRPr="001F48B9">
        <w:rPr>
          <w:b/>
          <w:bCs/>
          <w:lang w:val="en-GB"/>
        </w:rPr>
        <w:t xml:space="preserve">Materials and methods </w:t>
      </w:r>
      <w:r w:rsidRPr="001F48B9">
        <w:rPr>
          <w:sz w:val="12"/>
          <w:szCs w:val="12"/>
          <w:lang w:val="en-GB"/>
        </w:rPr>
        <w:t>(technical texts)</w:t>
      </w:r>
      <w:r w:rsidRPr="001F48B9">
        <w:rPr>
          <w:lang w:val="en-GB"/>
        </w:rPr>
        <w:t>/</w:t>
      </w:r>
      <w:r w:rsidRPr="001F48B9">
        <w:rPr>
          <w:b/>
          <w:bCs/>
          <w:lang w:val="en-GB"/>
        </w:rPr>
        <w:t xml:space="preserve">Research methodology </w:t>
      </w:r>
      <w:r w:rsidRPr="001F48B9">
        <w:rPr>
          <w:sz w:val="12"/>
          <w:szCs w:val="12"/>
          <w:lang w:val="en-GB"/>
        </w:rPr>
        <w:t>(economic texts)</w:t>
      </w:r>
      <w:r>
        <w:rPr>
          <w:sz w:val="12"/>
          <w:szCs w:val="12"/>
          <w:lang w:val="en-GB"/>
        </w:rPr>
        <w:t xml:space="preserve"> </w:t>
      </w:r>
      <w:r w:rsidRPr="001F48B9">
        <w:rPr>
          <w:color w:val="FF0000"/>
          <w:sz w:val="12"/>
          <w:szCs w:val="12"/>
          <w:lang w:val="en-GB"/>
        </w:rPr>
        <w:t>Times New Roman 12 pt., in bold face, aligned left</w:t>
      </w:r>
    </w:p>
    <w:p w:rsidR="00873A72" w:rsidRPr="001F48B9" w:rsidRDefault="00873A72" w:rsidP="003B399C">
      <w:pPr>
        <w:jc w:val="both"/>
        <w:rPr>
          <w:sz w:val="22"/>
          <w:szCs w:val="22"/>
          <w:lang w:val="en-GB"/>
        </w:rPr>
      </w:pPr>
      <w:r w:rsidRPr="001F48B9">
        <w:rPr>
          <w:sz w:val="22"/>
          <w:szCs w:val="22"/>
          <w:lang w:val="en-GB"/>
        </w:rPr>
        <w:t>In this part of publication the research subject matter is described in a concise way. Technical texts – description of materials, test methods, and experiments carried out. Economic texts – description of research aim, objective, subjective and spatial scope, and research methods.</w:t>
      </w:r>
    </w:p>
    <w:p w:rsidR="00873A72" w:rsidRPr="001F48B9" w:rsidRDefault="00873A72" w:rsidP="003B399C">
      <w:pPr>
        <w:tabs>
          <w:tab w:val="left" w:pos="9071"/>
        </w:tabs>
        <w:ind w:firstLine="340"/>
        <w:jc w:val="both"/>
        <w:rPr>
          <w:color w:val="FF0000"/>
          <w:sz w:val="12"/>
          <w:szCs w:val="12"/>
          <w:lang w:val="en-GB"/>
        </w:rPr>
      </w:pPr>
      <w:r w:rsidRPr="001F48B9">
        <w:rPr>
          <w:sz w:val="22"/>
          <w:szCs w:val="22"/>
          <w:lang w:val="en-GB"/>
        </w:rPr>
        <w:t>Paragrap</w:t>
      </w:r>
      <w:r w:rsidR="004654D7">
        <w:rPr>
          <w:sz w:val="22"/>
          <w:szCs w:val="22"/>
          <w:lang w:val="en-GB"/>
        </w:rPr>
        <w:t>h justified. The graphic part</w:t>
      </w:r>
      <w:r w:rsidR="004654D7" w:rsidRPr="001F48B9">
        <w:rPr>
          <w:sz w:val="22"/>
          <w:szCs w:val="22"/>
          <w:lang w:val="en-GB"/>
        </w:rPr>
        <w:t xml:space="preserve"> (</w:t>
      </w:r>
      <w:r w:rsidR="004654D7">
        <w:rPr>
          <w:sz w:val="22"/>
          <w:szCs w:val="22"/>
          <w:lang w:val="en-GB"/>
        </w:rPr>
        <w:t xml:space="preserve">tables, </w:t>
      </w:r>
      <w:r w:rsidRPr="001F48B9">
        <w:rPr>
          <w:sz w:val="22"/>
          <w:szCs w:val="22"/>
          <w:lang w:val="en-GB"/>
        </w:rPr>
        <w:t>figures</w:t>
      </w:r>
      <w:r w:rsidR="004654D7">
        <w:rPr>
          <w:sz w:val="22"/>
          <w:szCs w:val="22"/>
          <w:lang w:val="en-GB"/>
        </w:rPr>
        <w:t>, photos and graphs)</w:t>
      </w:r>
      <w:r w:rsidRPr="001F48B9">
        <w:rPr>
          <w:sz w:val="22"/>
          <w:szCs w:val="22"/>
          <w:lang w:val="en-GB"/>
        </w:rPr>
        <w:t xml:space="preserve"> should be in the form of separate electronic files </w:t>
      </w:r>
      <w:r w:rsidR="004654D7">
        <w:rPr>
          <w:sz w:val="22"/>
          <w:szCs w:val="22"/>
          <w:lang w:val="en-GB"/>
        </w:rPr>
        <w:t>that allows proofreading and making the corrections</w:t>
      </w:r>
      <w:r w:rsidRPr="001F48B9">
        <w:rPr>
          <w:sz w:val="22"/>
          <w:szCs w:val="22"/>
          <w:lang w:val="en-GB"/>
        </w:rPr>
        <w:t>. In the main text places where tables and figures are to be integrated should be marked. Footnotes should be placed at the bottom of a page and numbered with Arab digits (continuous numbering). It is recommended that footnotes are reduced to a necessary minimum.</w:t>
      </w:r>
      <w:r w:rsidR="004654D7">
        <w:rPr>
          <w:sz w:val="22"/>
          <w:szCs w:val="22"/>
          <w:lang w:val="en-GB"/>
        </w:rPr>
        <w:t xml:space="preserve"> “Wood” is the black and white journal – all graphic part should be prepared accordingly.</w:t>
      </w:r>
      <w:r w:rsidR="00CD6053">
        <w:rPr>
          <w:sz w:val="22"/>
          <w:szCs w:val="22"/>
          <w:lang w:val="en-GB"/>
        </w:rPr>
        <w:t xml:space="preserve"> </w:t>
      </w:r>
      <w:r w:rsidRPr="001F48B9">
        <w:rPr>
          <w:color w:val="FF0000"/>
          <w:sz w:val="12"/>
          <w:szCs w:val="12"/>
          <w:lang w:val="en-GB"/>
        </w:rPr>
        <w:t>Times New Roman 11 pt., justified, first line indentation 6mm, single line spacing</w:t>
      </w:r>
      <w:bookmarkStart w:id="0" w:name="_Ref240433660"/>
      <w:bookmarkStart w:id="1" w:name="_Ref243826931"/>
    </w:p>
    <w:p w:rsidR="00873A72" w:rsidRPr="001F48B9" w:rsidRDefault="00873A72" w:rsidP="003B399C">
      <w:pPr>
        <w:tabs>
          <w:tab w:val="left" w:pos="9071"/>
        </w:tabs>
        <w:jc w:val="both"/>
        <w:rPr>
          <w:sz w:val="22"/>
          <w:szCs w:val="22"/>
          <w:lang w:val="en-GB"/>
        </w:rPr>
      </w:pPr>
    </w:p>
    <w:bookmarkEnd w:id="0"/>
    <w:bookmarkEnd w:id="1"/>
    <w:p w:rsidR="00873A72" w:rsidRPr="001F48B9" w:rsidRDefault="00873A72" w:rsidP="003B399C">
      <w:pPr>
        <w:spacing w:after="240"/>
        <w:jc w:val="both"/>
        <w:rPr>
          <w:b/>
          <w:bCs/>
          <w:lang w:val="en-GB"/>
        </w:rPr>
      </w:pPr>
      <w:r w:rsidRPr="001F48B9">
        <w:rPr>
          <w:b/>
          <w:bCs/>
          <w:lang w:val="en-GB"/>
        </w:rPr>
        <w:t xml:space="preserve">Results and discussion </w:t>
      </w:r>
      <w:r w:rsidRPr="001F48B9">
        <w:rPr>
          <w:color w:val="FF0000"/>
          <w:sz w:val="12"/>
          <w:szCs w:val="12"/>
          <w:lang w:val="en-GB"/>
        </w:rPr>
        <w:t>Times New Roman 12 pt., in bold face, aligned left</w:t>
      </w:r>
    </w:p>
    <w:p w:rsidR="00873A72" w:rsidRPr="001F48B9" w:rsidRDefault="00873A72" w:rsidP="003B399C">
      <w:pPr>
        <w:jc w:val="both"/>
        <w:rPr>
          <w:sz w:val="22"/>
          <w:szCs w:val="22"/>
          <w:lang w:val="en-GB"/>
        </w:rPr>
      </w:pPr>
      <w:r w:rsidRPr="001F48B9">
        <w:rPr>
          <w:sz w:val="22"/>
          <w:szCs w:val="22"/>
          <w:lang w:val="en-GB"/>
        </w:rPr>
        <w:t>Technical texts – discussion of research results.</w:t>
      </w:r>
      <w:r w:rsidR="00CD6053">
        <w:rPr>
          <w:sz w:val="22"/>
          <w:szCs w:val="22"/>
          <w:lang w:val="en-GB"/>
        </w:rPr>
        <w:t xml:space="preserve"> </w:t>
      </w:r>
      <w:r w:rsidRPr="001F48B9">
        <w:rPr>
          <w:sz w:val="22"/>
          <w:szCs w:val="22"/>
          <w:lang w:val="en-GB"/>
        </w:rPr>
        <w:t>Economic texts – discussion of research results per issues. In the main text places where tables and figures (graphs and photos) are to be integrated should be marked. Units of measures should be in the SI system. Mathematic equations should be centred, equations numeration given in round bracket, i.e. (1), (2)… aligned right.</w:t>
      </w:r>
    </w:p>
    <w:p w:rsidR="00873A72" w:rsidRPr="001F48B9" w:rsidRDefault="00873A72" w:rsidP="003B399C">
      <w:pPr>
        <w:tabs>
          <w:tab w:val="left" w:pos="9071"/>
        </w:tabs>
        <w:ind w:firstLine="340"/>
        <w:jc w:val="both"/>
        <w:rPr>
          <w:sz w:val="22"/>
          <w:szCs w:val="22"/>
          <w:lang w:val="en-GB"/>
        </w:rPr>
      </w:pPr>
      <w:r w:rsidRPr="001F48B9">
        <w:rPr>
          <w:sz w:val="22"/>
          <w:szCs w:val="22"/>
          <w:lang w:val="en-GB"/>
        </w:rPr>
        <w:t xml:space="preserve">Paragraph justified. In the main text a table or a figure should be mentioned in the following way: </w:t>
      </w:r>
      <w:r w:rsidR="00CD6053">
        <w:rPr>
          <w:sz w:val="22"/>
          <w:szCs w:val="22"/>
          <w:lang w:val="en-GB"/>
        </w:rPr>
        <w:t>t</w:t>
      </w:r>
      <w:r w:rsidRPr="001F48B9">
        <w:rPr>
          <w:sz w:val="22"/>
          <w:szCs w:val="22"/>
          <w:lang w:val="en-GB"/>
        </w:rPr>
        <w:t xml:space="preserve">able 1, </w:t>
      </w:r>
      <w:r w:rsidR="00CD6053">
        <w:rPr>
          <w:sz w:val="22"/>
          <w:szCs w:val="22"/>
          <w:lang w:val="en-GB"/>
        </w:rPr>
        <w:t>f</w:t>
      </w:r>
      <w:r w:rsidRPr="001F48B9">
        <w:rPr>
          <w:sz w:val="22"/>
          <w:szCs w:val="22"/>
          <w:lang w:val="en-GB"/>
        </w:rPr>
        <w:t>ig. 1.</w:t>
      </w:r>
      <w:r w:rsidR="00CD6053">
        <w:rPr>
          <w:color w:val="FF0000"/>
          <w:sz w:val="12"/>
          <w:szCs w:val="12"/>
          <w:lang w:val="en-GB"/>
        </w:rPr>
        <w:t xml:space="preserve"> </w:t>
      </w:r>
      <w:r w:rsidRPr="001F48B9">
        <w:rPr>
          <w:color w:val="FF0000"/>
          <w:sz w:val="12"/>
          <w:szCs w:val="12"/>
          <w:lang w:val="en-GB"/>
        </w:rPr>
        <w:t>Times New Roman 11 pt., justified, first line indentation 6 mm, single line spacing</w:t>
      </w:r>
    </w:p>
    <w:p w:rsidR="00873A72" w:rsidRPr="001F48B9" w:rsidRDefault="00873A72" w:rsidP="003B399C">
      <w:pPr>
        <w:tabs>
          <w:tab w:val="left" w:pos="9071"/>
        </w:tabs>
        <w:ind w:firstLine="340"/>
        <w:jc w:val="both"/>
        <w:rPr>
          <w:sz w:val="22"/>
          <w:szCs w:val="22"/>
          <w:lang w:val="en-GB"/>
        </w:rPr>
      </w:pPr>
      <w:r w:rsidRPr="001F48B9">
        <w:rPr>
          <w:sz w:val="22"/>
          <w:szCs w:val="22"/>
          <w:lang w:val="en-GB"/>
        </w:rPr>
        <w:t>Tables and figures should be in the form of separate electronic files.</w:t>
      </w:r>
    </w:p>
    <w:p w:rsidR="00873A72" w:rsidRPr="001F48B9" w:rsidRDefault="00873A72" w:rsidP="003B399C">
      <w:pPr>
        <w:jc w:val="both"/>
        <w:rPr>
          <w:sz w:val="22"/>
          <w:szCs w:val="22"/>
          <w:lang w:val="en-GB"/>
        </w:rPr>
      </w:pPr>
    </w:p>
    <w:p w:rsidR="00873A72" w:rsidRPr="001F48B9" w:rsidRDefault="00873A72" w:rsidP="003B399C">
      <w:pPr>
        <w:spacing w:after="240"/>
        <w:jc w:val="both"/>
        <w:rPr>
          <w:lang w:val="en-GB"/>
        </w:rPr>
      </w:pPr>
      <w:r w:rsidRPr="001F48B9">
        <w:rPr>
          <w:b/>
          <w:bCs/>
          <w:lang w:val="en-GB"/>
        </w:rPr>
        <w:t xml:space="preserve">Conclusions </w:t>
      </w:r>
      <w:r w:rsidRPr="001F48B9">
        <w:rPr>
          <w:color w:val="FF0000"/>
          <w:sz w:val="12"/>
          <w:szCs w:val="12"/>
          <w:lang w:val="en-GB"/>
        </w:rPr>
        <w:t>Times New Roman 12 pt., in bold face, aligned left</w:t>
      </w:r>
    </w:p>
    <w:p w:rsidR="00873A72" w:rsidRPr="001F48B9" w:rsidRDefault="00873A72" w:rsidP="003B399C">
      <w:pPr>
        <w:jc w:val="both"/>
        <w:rPr>
          <w:sz w:val="22"/>
          <w:szCs w:val="22"/>
          <w:lang w:val="en-GB"/>
        </w:rPr>
      </w:pPr>
      <w:r w:rsidRPr="001F48B9">
        <w:rPr>
          <w:sz w:val="22"/>
          <w:szCs w:val="22"/>
          <w:lang w:val="en-GB"/>
        </w:rPr>
        <w:t>Main conclusions, concise summary of research results.</w:t>
      </w:r>
    </w:p>
    <w:p w:rsidR="00873A72" w:rsidRPr="001F48B9" w:rsidRDefault="00873A72" w:rsidP="003B399C">
      <w:pPr>
        <w:ind w:firstLine="340"/>
        <w:jc w:val="both"/>
        <w:rPr>
          <w:sz w:val="22"/>
          <w:szCs w:val="22"/>
          <w:lang w:val="en-GB"/>
        </w:rPr>
      </w:pPr>
      <w:r w:rsidRPr="001F48B9">
        <w:rPr>
          <w:sz w:val="22"/>
          <w:szCs w:val="22"/>
          <w:lang w:val="en-GB"/>
        </w:rPr>
        <w:t xml:space="preserve">Paragraph justified. </w:t>
      </w:r>
      <w:r w:rsidRPr="001F48B9">
        <w:rPr>
          <w:color w:val="FF0000"/>
          <w:sz w:val="12"/>
          <w:szCs w:val="12"/>
          <w:lang w:val="en-GB"/>
        </w:rPr>
        <w:t>Times New Roman 11 pt., justified, first line indentation 6 mm, single line spacing</w:t>
      </w:r>
    </w:p>
    <w:p w:rsidR="00873A72" w:rsidRDefault="00873A72" w:rsidP="003B399C">
      <w:pPr>
        <w:rPr>
          <w:lang w:val="en-GB"/>
        </w:rPr>
      </w:pPr>
    </w:p>
    <w:p w:rsidR="00CD6053" w:rsidRPr="001F48B9" w:rsidRDefault="00CD6053" w:rsidP="003B399C">
      <w:pPr>
        <w:rPr>
          <w:lang w:val="en-GB"/>
        </w:rPr>
      </w:pPr>
    </w:p>
    <w:p w:rsidR="00873A72" w:rsidRPr="001F48B9" w:rsidRDefault="00873A72" w:rsidP="00902DBF">
      <w:pPr>
        <w:spacing w:before="240" w:after="240"/>
        <w:rPr>
          <w:b/>
          <w:bCs/>
          <w:lang w:val="en-GB"/>
        </w:rPr>
      </w:pPr>
      <w:r w:rsidRPr="001F48B9">
        <w:rPr>
          <w:b/>
          <w:bCs/>
          <w:lang w:val="en-GB"/>
        </w:rPr>
        <w:t>References</w:t>
      </w:r>
      <w:r w:rsidRPr="001F48B9">
        <w:rPr>
          <w:color w:val="FF0000"/>
          <w:sz w:val="12"/>
          <w:szCs w:val="12"/>
          <w:lang w:val="en-GB"/>
        </w:rPr>
        <w:t xml:space="preserve"> Times New Roman 12 pt., in bold face, aligned left</w:t>
      </w:r>
    </w:p>
    <w:p w:rsidR="002E2D51" w:rsidRDefault="00873A72" w:rsidP="003B399C">
      <w:pPr>
        <w:jc w:val="both"/>
        <w:rPr>
          <w:lang w:val="en-GB"/>
        </w:rPr>
      </w:pPr>
      <w:r w:rsidRPr="001F48B9">
        <w:rPr>
          <w:lang w:val="en-GB"/>
        </w:rPr>
        <w:t xml:space="preserve">In the References section (containing solely bibliographic descriptions of publication quoted in the text) all the authors of cited publications should </w:t>
      </w:r>
      <w:r w:rsidRPr="001F48B9">
        <w:rPr>
          <w:lang w:val="en-GB"/>
        </w:rPr>
        <w:lastRenderedPageBreak/>
        <w:t xml:space="preserve">be listed as well as full names of the journals. References should be listed alphabetically by surnames of the authors or first words of the titles of collective publications; both the former and the latter should be set in bold face. Particular items of references should start with the author’s surname and initial of their name. Collective publications should be listed in alphabetical order. Individual publications should not be numbered. </w:t>
      </w:r>
      <w:r w:rsidR="002E2D51">
        <w:rPr>
          <w:lang w:val="en-GB"/>
        </w:rPr>
        <w:t>Standards should be listed separately. In case of citation from the website source it is necessary to add an access date in the end.</w:t>
      </w:r>
    </w:p>
    <w:p w:rsidR="00873A72" w:rsidRPr="001D4B94" w:rsidRDefault="001D4B94" w:rsidP="003B399C">
      <w:pPr>
        <w:jc w:val="both"/>
        <w:rPr>
          <w:lang w:val="en-US"/>
        </w:rPr>
      </w:pPr>
      <w:r w:rsidRPr="001D4B94">
        <w:rPr>
          <w:lang w:val="en-US"/>
        </w:rPr>
        <w:t xml:space="preserve">Autocitation should not exceed 20% in the </w:t>
      </w:r>
      <w:r>
        <w:rPr>
          <w:lang w:val="en-US"/>
        </w:rPr>
        <w:t>references</w:t>
      </w:r>
      <w:r w:rsidRPr="001D4B94">
        <w:rPr>
          <w:lang w:val="en-US"/>
        </w:rPr>
        <w:t>.</w:t>
      </w:r>
    </w:p>
    <w:p w:rsidR="00873A72" w:rsidRPr="001D4B94" w:rsidRDefault="00873A72" w:rsidP="003B399C">
      <w:pPr>
        <w:ind w:left="340" w:hanging="340"/>
        <w:jc w:val="both"/>
        <w:rPr>
          <w:b/>
          <w:bCs/>
          <w:sz w:val="19"/>
          <w:szCs w:val="19"/>
          <w:lang w:val="en-US"/>
        </w:rPr>
      </w:pPr>
    </w:p>
    <w:p w:rsidR="003F0C63" w:rsidRPr="003F0C63" w:rsidRDefault="003F0C63" w:rsidP="003F0C63">
      <w:pPr>
        <w:autoSpaceDE w:val="0"/>
        <w:autoSpaceDN w:val="0"/>
        <w:adjustRightInd w:val="0"/>
        <w:ind w:left="340" w:hanging="340"/>
        <w:jc w:val="both"/>
        <w:textAlignment w:val="center"/>
        <w:rPr>
          <w:color w:val="000000"/>
          <w:sz w:val="19"/>
          <w:szCs w:val="19"/>
        </w:rPr>
      </w:pPr>
      <w:r w:rsidRPr="003F0C63">
        <w:rPr>
          <w:b/>
          <w:color w:val="000000"/>
          <w:sz w:val="19"/>
          <w:szCs w:val="19"/>
        </w:rPr>
        <w:t>Nowak J.</w:t>
      </w:r>
      <w:r w:rsidRPr="003F0C63">
        <w:rPr>
          <w:color w:val="000000"/>
          <w:sz w:val="19"/>
          <w:szCs w:val="19"/>
        </w:rPr>
        <w:t xml:space="preserve"> [2000]: Przemysł drzewny (Wood industry). Wydawnictwo XX, Poznań</w:t>
      </w:r>
    </w:p>
    <w:p w:rsidR="003F0C63" w:rsidRPr="003F0C63" w:rsidRDefault="003F0C63" w:rsidP="003F0C63">
      <w:pPr>
        <w:autoSpaceDE w:val="0"/>
        <w:autoSpaceDN w:val="0"/>
        <w:adjustRightInd w:val="0"/>
        <w:ind w:left="340" w:hanging="340"/>
        <w:jc w:val="both"/>
        <w:textAlignment w:val="center"/>
        <w:rPr>
          <w:color w:val="000000"/>
          <w:sz w:val="19"/>
          <w:szCs w:val="19"/>
        </w:rPr>
      </w:pPr>
      <w:r w:rsidRPr="003F0C63">
        <w:rPr>
          <w:b/>
          <w:color w:val="000000"/>
          <w:sz w:val="19"/>
          <w:szCs w:val="19"/>
        </w:rPr>
        <w:t>Zabielska-Matejuk J. (ed.)</w:t>
      </w:r>
      <w:r w:rsidRPr="003F0C63">
        <w:rPr>
          <w:color w:val="000000"/>
          <w:sz w:val="19"/>
          <w:szCs w:val="19"/>
        </w:rPr>
        <w:t xml:space="preserve"> [2012]: Ciecze jonowe w innowacyjnych technologiach związanych z przetwarzaniem surowców lignocelulozowych  (Ionic liquids in innovative Technologies connected with processing of lignocellulosic raw materials). Wydawnictwo Instytutu Technologii Drewna, Poznań</w:t>
      </w:r>
    </w:p>
    <w:p w:rsidR="003F0C63" w:rsidRPr="003F0C63" w:rsidRDefault="003F0C63" w:rsidP="003F0C63">
      <w:pPr>
        <w:autoSpaceDE w:val="0"/>
        <w:autoSpaceDN w:val="0"/>
        <w:adjustRightInd w:val="0"/>
        <w:ind w:left="340" w:hanging="340"/>
        <w:jc w:val="both"/>
        <w:textAlignment w:val="center"/>
        <w:rPr>
          <w:color w:val="000000"/>
          <w:sz w:val="19"/>
          <w:szCs w:val="19"/>
        </w:rPr>
      </w:pPr>
      <w:r w:rsidRPr="003F0C63">
        <w:rPr>
          <w:b/>
          <w:color w:val="000000"/>
          <w:sz w:val="19"/>
          <w:szCs w:val="19"/>
        </w:rPr>
        <w:t>Zabielska-Matejuk J.</w:t>
      </w:r>
      <w:r w:rsidRPr="003F0C63">
        <w:rPr>
          <w:color w:val="000000"/>
          <w:sz w:val="19"/>
          <w:szCs w:val="19"/>
        </w:rPr>
        <w:t xml:space="preserve"> [2012]:  Ciecze jonowe - stan zagadnienia (Ionic liquids – state of issue). In:  Zabielska-Matejuk J. (ed.), Ciecze jonowe w innowacyjnych technologiach związanych z przetwarzaniem surowców lignocelulozowych  (Ionic liquids in innovative technologies connected with processing of lignocellulosic raw materials). Wydawnictwo Instytutu Technologii Drewna, Poznań </w:t>
      </w:r>
    </w:p>
    <w:p w:rsidR="003F0C63" w:rsidRPr="003F0C63" w:rsidRDefault="003F0C63" w:rsidP="003F0C63">
      <w:pPr>
        <w:autoSpaceDE w:val="0"/>
        <w:autoSpaceDN w:val="0"/>
        <w:adjustRightInd w:val="0"/>
        <w:ind w:left="340" w:hanging="340"/>
        <w:jc w:val="both"/>
        <w:textAlignment w:val="center"/>
        <w:rPr>
          <w:color w:val="000000"/>
          <w:sz w:val="19"/>
          <w:szCs w:val="19"/>
          <w:lang w:val="en-GB"/>
        </w:rPr>
      </w:pPr>
      <w:r w:rsidRPr="003F0C63">
        <w:rPr>
          <w:b/>
          <w:color w:val="000000"/>
          <w:sz w:val="19"/>
          <w:szCs w:val="19"/>
        </w:rPr>
        <w:t>Zabielska-Matejuk J., Spychalski W., Stangierska A.</w:t>
      </w:r>
      <w:r w:rsidRPr="003F0C63">
        <w:rPr>
          <w:color w:val="000000"/>
          <w:sz w:val="19"/>
          <w:szCs w:val="19"/>
        </w:rPr>
        <w:t xml:space="preserve"> [2013]: Oddziaływanie nowych preparatów do ochrony drewna na środowisko glebowe (Impact of the CCB and ACQ – type preservatieves on the soil environment). </w:t>
      </w:r>
      <w:r w:rsidRPr="003F0C63">
        <w:rPr>
          <w:color w:val="000000"/>
          <w:sz w:val="19"/>
          <w:szCs w:val="19"/>
          <w:lang w:val="en-GB"/>
        </w:rPr>
        <w:t>Drewno 56 [189]: 47–58</w:t>
      </w:r>
    </w:p>
    <w:p w:rsidR="003F0C63" w:rsidRPr="003F0C63" w:rsidRDefault="003F0C63" w:rsidP="003F0C63">
      <w:pPr>
        <w:autoSpaceDE w:val="0"/>
        <w:autoSpaceDN w:val="0"/>
        <w:adjustRightInd w:val="0"/>
        <w:ind w:left="340" w:hanging="340"/>
        <w:jc w:val="both"/>
        <w:textAlignment w:val="center"/>
        <w:rPr>
          <w:color w:val="000000"/>
          <w:sz w:val="19"/>
          <w:szCs w:val="19"/>
          <w:lang w:val="en-GB"/>
        </w:rPr>
      </w:pPr>
      <w:r w:rsidRPr="003F0C63">
        <w:rPr>
          <w:b/>
          <w:color w:val="000000"/>
          <w:sz w:val="19"/>
          <w:szCs w:val="19"/>
          <w:lang w:val="en-GB"/>
        </w:rPr>
        <w:t>Park B.D., Kim Y.S., Riedl B.</w:t>
      </w:r>
      <w:r w:rsidRPr="003F0C63">
        <w:rPr>
          <w:color w:val="000000"/>
          <w:sz w:val="19"/>
          <w:szCs w:val="19"/>
          <w:lang w:val="en-GB"/>
        </w:rPr>
        <w:t xml:space="preserve"> [2001]: Effect of wood-fiber characteristics on medium density fiberboard (MDF) performance. Journal Korean Wood Science and Technology 29 [3]: 27–35</w:t>
      </w:r>
    </w:p>
    <w:p w:rsidR="003F0C63" w:rsidRPr="003F0C63" w:rsidRDefault="003F0C63" w:rsidP="003F0C63">
      <w:pPr>
        <w:autoSpaceDE w:val="0"/>
        <w:autoSpaceDN w:val="0"/>
        <w:adjustRightInd w:val="0"/>
        <w:ind w:left="340" w:hanging="340"/>
        <w:jc w:val="both"/>
        <w:textAlignment w:val="center"/>
        <w:rPr>
          <w:color w:val="000000"/>
          <w:sz w:val="19"/>
          <w:szCs w:val="19"/>
          <w:lang w:val="en-GB"/>
        </w:rPr>
      </w:pPr>
      <w:r w:rsidRPr="003F0C63">
        <w:rPr>
          <w:b/>
          <w:color w:val="000000"/>
          <w:sz w:val="19"/>
          <w:szCs w:val="19"/>
          <w:lang w:val="en-GB"/>
        </w:rPr>
        <w:t>Blair K., Hoy C.</w:t>
      </w:r>
      <w:r w:rsidRPr="003F0C63">
        <w:rPr>
          <w:color w:val="000000"/>
          <w:sz w:val="19"/>
          <w:szCs w:val="19"/>
          <w:lang w:val="en-GB"/>
        </w:rPr>
        <w:t xml:space="preserve"> [2006]: Paying attention to adult learning online: The pedagogy and politics of community. Computers and Composition 23 [1]: 32–48. DOI:10.1016/j.compcom.2005.12.006</w:t>
      </w:r>
    </w:p>
    <w:p w:rsidR="003F0C63" w:rsidRPr="003F0C63" w:rsidRDefault="003F0C63" w:rsidP="003F0C63">
      <w:pPr>
        <w:autoSpaceDE w:val="0"/>
        <w:autoSpaceDN w:val="0"/>
        <w:adjustRightInd w:val="0"/>
        <w:ind w:left="340" w:hanging="340"/>
        <w:jc w:val="both"/>
        <w:textAlignment w:val="center"/>
        <w:rPr>
          <w:color w:val="000000"/>
          <w:sz w:val="19"/>
          <w:szCs w:val="19"/>
          <w:lang w:val="en-GB"/>
        </w:rPr>
      </w:pPr>
      <w:r w:rsidRPr="003F0C63">
        <w:rPr>
          <w:b/>
          <w:color w:val="000000"/>
          <w:sz w:val="19"/>
          <w:szCs w:val="19"/>
          <w:lang w:val="en-GB"/>
        </w:rPr>
        <w:t>Athanassiadou E., Tsiantzi S., Panagiotis N.</w:t>
      </w:r>
      <w:r w:rsidRPr="003F0C63">
        <w:rPr>
          <w:color w:val="000000"/>
          <w:sz w:val="19"/>
          <w:szCs w:val="19"/>
          <w:lang w:val="en-GB"/>
        </w:rPr>
        <w:t xml:space="preserve"> [2002]: Wood adhesives made with pyrolysis oils [accessed: 4.03.2013]. Available from: www.chimarhellas.com </w:t>
      </w:r>
    </w:p>
    <w:p w:rsidR="003F0C63" w:rsidRPr="003F0C63" w:rsidRDefault="003F0C63" w:rsidP="003F0C63">
      <w:pPr>
        <w:autoSpaceDE w:val="0"/>
        <w:autoSpaceDN w:val="0"/>
        <w:adjustRightInd w:val="0"/>
        <w:ind w:left="340" w:hanging="340"/>
        <w:jc w:val="both"/>
        <w:textAlignment w:val="center"/>
        <w:rPr>
          <w:color w:val="000000"/>
          <w:sz w:val="19"/>
          <w:szCs w:val="19"/>
          <w:lang w:val="en-GB"/>
        </w:rPr>
      </w:pPr>
      <w:r w:rsidRPr="003F0C63">
        <w:rPr>
          <w:b/>
          <w:color w:val="000000"/>
          <w:sz w:val="19"/>
          <w:szCs w:val="19"/>
          <w:lang w:val="en-GB"/>
        </w:rPr>
        <w:t>PEFC</w:t>
      </w:r>
      <w:r w:rsidRPr="003F0C63">
        <w:rPr>
          <w:color w:val="000000"/>
          <w:sz w:val="19"/>
          <w:szCs w:val="19"/>
          <w:lang w:val="en-GB"/>
        </w:rPr>
        <w:t>: www.pefc.org [accessed: 4.03.2013]</w:t>
      </w:r>
    </w:p>
    <w:p w:rsidR="003F0C63" w:rsidRPr="003F0C63" w:rsidRDefault="003F0C63" w:rsidP="003F0C63">
      <w:pPr>
        <w:autoSpaceDE w:val="0"/>
        <w:autoSpaceDN w:val="0"/>
        <w:adjustRightInd w:val="0"/>
        <w:ind w:left="340" w:hanging="340"/>
        <w:jc w:val="both"/>
        <w:textAlignment w:val="center"/>
        <w:rPr>
          <w:color w:val="000000"/>
          <w:sz w:val="19"/>
          <w:szCs w:val="19"/>
          <w:lang w:val="en-GB"/>
        </w:rPr>
      </w:pPr>
      <w:r w:rsidRPr="003F0C63">
        <w:rPr>
          <w:b/>
          <w:color w:val="000000"/>
          <w:sz w:val="19"/>
          <w:szCs w:val="19"/>
        </w:rPr>
        <w:t xml:space="preserve">Kowalczyk-Juśko A. </w:t>
      </w:r>
      <w:r w:rsidRPr="003F0C63">
        <w:rPr>
          <w:color w:val="000000"/>
          <w:sz w:val="19"/>
          <w:szCs w:val="19"/>
        </w:rPr>
        <w:t xml:space="preserve">[2014]: Wykorzystanie masy pofermentacyjnej – krok po kroku (The use of the digestate - step by step) [accessed: 10.03.2014]. </w:t>
      </w:r>
      <w:r w:rsidRPr="003F0C63">
        <w:rPr>
          <w:color w:val="000000"/>
          <w:sz w:val="19"/>
          <w:szCs w:val="19"/>
          <w:lang w:val="en-GB"/>
        </w:rPr>
        <w:t xml:space="preserve">Czysta Energia 151 [3]. Available from: http://e-czytelnia.abrys.pl/index.php?mod=tekst&amp;id=17753 </w:t>
      </w:r>
    </w:p>
    <w:p w:rsidR="003F0C63" w:rsidRPr="003F0C63" w:rsidRDefault="003F0C63" w:rsidP="003F0C63">
      <w:pPr>
        <w:autoSpaceDE w:val="0"/>
        <w:autoSpaceDN w:val="0"/>
        <w:adjustRightInd w:val="0"/>
        <w:ind w:left="340" w:hanging="340"/>
        <w:jc w:val="both"/>
        <w:textAlignment w:val="center"/>
        <w:rPr>
          <w:color w:val="000000"/>
          <w:sz w:val="19"/>
          <w:szCs w:val="19"/>
          <w:lang w:val="en-GB"/>
        </w:rPr>
      </w:pPr>
      <w:r w:rsidRPr="003F0C63">
        <w:rPr>
          <w:b/>
          <w:color w:val="000000"/>
          <w:sz w:val="19"/>
          <w:szCs w:val="19"/>
          <w:lang w:val="en-GB"/>
        </w:rPr>
        <w:t>Poznański R.</w:t>
      </w:r>
      <w:r w:rsidRPr="003F0C63">
        <w:rPr>
          <w:color w:val="000000"/>
          <w:sz w:val="19"/>
          <w:szCs w:val="19"/>
          <w:lang w:val="en-GB"/>
        </w:rPr>
        <w:t xml:space="preserve"> [2011]: Wybór pożądanego kierunku rozwoju zasobów drzewnych (Selection of the desired direction of development of timber resources). </w:t>
      </w:r>
      <w:r w:rsidRPr="003F0C63">
        <w:rPr>
          <w:color w:val="000000"/>
          <w:sz w:val="19"/>
          <w:szCs w:val="19"/>
        </w:rPr>
        <w:t xml:space="preserve">Proceedings of: Strategia rozwoju lasów i leśnictwa w Polsce do roku 2030, 15–17 March 2011. </w:t>
      </w:r>
      <w:r w:rsidRPr="003F0C63">
        <w:rPr>
          <w:color w:val="000000"/>
          <w:sz w:val="19"/>
          <w:szCs w:val="19"/>
          <w:lang w:val="en-GB"/>
        </w:rPr>
        <w:t>Sękocin Stary: 167–183</w:t>
      </w:r>
    </w:p>
    <w:p w:rsidR="003F0C63" w:rsidRPr="003F0C63" w:rsidRDefault="003F0C63" w:rsidP="003F0C63">
      <w:pPr>
        <w:autoSpaceDE w:val="0"/>
        <w:autoSpaceDN w:val="0"/>
        <w:adjustRightInd w:val="0"/>
        <w:ind w:left="340" w:hanging="340"/>
        <w:jc w:val="both"/>
        <w:textAlignment w:val="center"/>
        <w:rPr>
          <w:color w:val="000000"/>
          <w:sz w:val="19"/>
          <w:szCs w:val="19"/>
          <w:lang w:val="en-GB"/>
        </w:rPr>
      </w:pPr>
      <w:r w:rsidRPr="003F0C63">
        <w:rPr>
          <w:b/>
          <w:color w:val="000000"/>
          <w:sz w:val="19"/>
          <w:szCs w:val="19"/>
          <w:lang w:val="en-GB"/>
        </w:rPr>
        <w:t>Fanty M., Schmid P., Cole. R.</w:t>
      </w:r>
      <w:r w:rsidRPr="003F0C63">
        <w:rPr>
          <w:color w:val="000000"/>
          <w:sz w:val="19"/>
          <w:szCs w:val="19"/>
          <w:lang w:val="en-GB"/>
        </w:rPr>
        <w:t xml:space="preserve"> [1993]: City name recognition over the telephone. Proceedings of: International Conference on Acoustics, Speech and Signal Processing, volume I, April 1993. Minneapolis, p. 549–552 </w:t>
      </w:r>
    </w:p>
    <w:p w:rsidR="003F0C63" w:rsidRPr="003F0C63" w:rsidRDefault="003F0C63" w:rsidP="003F0C63">
      <w:pPr>
        <w:autoSpaceDE w:val="0"/>
        <w:autoSpaceDN w:val="0"/>
        <w:adjustRightInd w:val="0"/>
        <w:ind w:left="340" w:hanging="340"/>
        <w:jc w:val="both"/>
        <w:textAlignment w:val="center"/>
        <w:rPr>
          <w:color w:val="000000"/>
          <w:sz w:val="19"/>
          <w:szCs w:val="19"/>
          <w:lang w:val="en-GB"/>
        </w:rPr>
      </w:pPr>
      <w:r w:rsidRPr="003F0C63">
        <w:rPr>
          <w:b/>
          <w:color w:val="000000"/>
          <w:sz w:val="19"/>
          <w:szCs w:val="19"/>
          <w:lang w:val="en-GB"/>
        </w:rPr>
        <w:t xml:space="preserve">KE </w:t>
      </w:r>
      <w:r w:rsidRPr="003F0C63">
        <w:rPr>
          <w:color w:val="000000"/>
          <w:sz w:val="19"/>
          <w:szCs w:val="19"/>
          <w:lang w:val="en-GB"/>
        </w:rPr>
        <w:t xml:space="preserve">[2012]: Komunikat Komisji do Parlamentu Europejskiego, Rady, Europejskiego Komitetu Ekonomiczno-Społecznego i Komitetu Regionów „Innowacje w służbie zrównoważonego wzrostu: biogospodarka dla Europy”  (Communication from the Commission to the European Parliament, the Council, the European Economic and </w:t>
      </w:r>
      <w:r w:rsidRPr="003F0C63">
        <w:rPr>
          <w:color w:val="000000"/>
          <w:sz w:val="19"/>
          <w:szCs w:val="19"/>
          <w:lang w:val="en-GB"/>
        </w:rPr>
        <w:lastRenderedPageBreak/>
        <w:t>Social Committee and the Committee of the Regions “Innovating for Sustainable Growth: A Bioeconomy for Europe”) [COM(2012) 60 final] [accessed 22.05.2014]. Available from: http://ec.europa.eu/research/bioeconomy/pdf/201202_innovating_sustainable_growth.pdf, Bruksela</w:t>
      </w:r>
    </w:p>
    <w:p w:rsidR="003F0C63" w:rsidRPr="003F0C63" w:rsidRDefault="003F0C63" w:rsidP="003F0C63">
      <w:pPr>
        <w:autoSpaceDE w:val="0"/>
        <w:autoSpaceDN w:val="0"/>
        <w:adjustRightInd w:val="0"/>
        <w:ind w:left="340" w:hanging="340"/>
        <w:jc w:val="both"/>
        <w:textAlignment w:val="center"/>
        <w:rPr>
          <w:color w:val="000000"/>
          <w:sz w:val="19"/>
          <w:szCs w:val="19"/>
          <w:lang w:val="en-GB"/>
        </w:rPr>
      </w:pPr>
      <w:r w:rsidRPr="003F0C63">
        <w:rPr>
          <w:b/>
          <w:color w:val="000000"/>
          <w:sz w:val="19"/>
          <w:szCs w:val="19"/>
          <w:lang w:val="en-GB"/>
        </w:rPr>
        <w:t xml:space="preserve">EPA </w:t>
      </w:r>
      <w:r w:rsidRPr="003F0C63">
        <w:rPr>
          <w:color w:val="000000"/>
          <w:sz w:val="19"/>
          <w:szCs w:val="19"/>
          <w:lang w:val="en-GB"/>
        </w:rPr>
        <w:t>[2007]: Biomass Conversion: Emerging Technologies, Feedstocks, and Products, Sustainability Program, Office of Research and Development, EPA/600/R-07/144, U.S. Environmental Protection Agency, Washington, D.C. [accessed: 20.05.2014]. Available from: http://www.epa.gov/Sustainability/pdfs/Biomass%20Conversion.pdf</w:t>
      </w:r>
    </w:p>
    <w:p w:rsidR="003F0C63" w:rsidRPr="003F0C63" w:rsidRDefault="003F0C63" w:rsidP="003F0C63">
      <w:pPr>
        <w:autoSpaceDE w:val="0"/>
        <w:autoSpaceDN w:val="0"/>
        <w:adjustRightInd w:val="0"/>
        <w:ind w:left="340" w:hanging="340"/>
        <w:jc w:val="both"/>
        <w:textAlignment w:val="center"/>
        <w:rPr>
          <w:color w:val="000000"/>
          <w:sz w:val="19"/>
          <w:szCs w:val="19"/>
          <w:lang w:val="en-GB"/>
        </w:rPr>
      </w:pPr>
      <w:r w:rsidRPr="003F0C63">
        <w:rPr>
          <w:b/>
          <w:color w:val="000000"/>
          <w:sz w:val="19"/>
          <w:szCs w:val="19"/>
          <w:lang w:val="en-GB"/>
        </w:rPr>
        <w:t>Department for Education</w:t>
      </w:r>
      <w:r w:rsidRPr="003F0C63">
        <w:rPr>
          <w:color w:val="000000"/>
          <w:sz w:val="19"/>
          <w:szCs w:val="19"/>
          <w:lang w:val="en-GB"/>
        </w:rPr>
        <w:t xml:space="preserve"> [2011]: The Importance of Music: a National Plan for Music Education. Department for Education [accessed 22.12.2011]. Available from: https://www.education.gov.uk/publications/eOrderingDownload/DFE-00086-2011.pdf   </w:t>
      </w:r>
    </w:p>
    <w:p w:rsidR="003F0C63" w:rsidRPr="003F0C63" w:rsidRDefault="003F0C63" w:rsidP="003F0C63">
      <w:pPr>
        <w:autoSpaceDE w:val="0"/>
        <w:autoSpaceDN w:val="0"/>
        <w:adjustRightInd w:val="0"/>
        <w:ind w:left="340" w:hanging="340"/>
        <w:jc w:val="both"/>
        <w:textAlignment w:val="center"/>
        <w:rPr>
          <w:color w:val="000000"/>
          <w:sz w:val="19"/>
          <w:szCs w:val="19"/>
        </w:rPr>
      </w:pPr>
      <w:r w:rsidRPr="003F0C63">
        <w:rPr>
          <w:b/>
          <w:color w:val="000000"/>
          <w:sz w:val="19"/>
          <w:szCs w:val="19"/>
        </w:rPr>
        <w:t xml:space="preserve">GUS </w:t>
      </w:r>
      <w:r w:rsidRPr="003F0C63">
        <w:rPr>
          <w:color w:val="000000"/>
          <w:sz w:val="19"/>
          <w:szCs w:val="19"/>
        </w:rPr>
        <w:t>[2008]: Działalność innowacyjna przedsiębiorstw przemysłowych w latach 2004–2006 (Innovative activity of industrial enterprises in 2004-2006). Zakład Wydawnictw Statystycznych, Warszawa</w:t>
      </w:r>
    </w:p>
    <w:p w:rsidR="003F0C63" w:rsidRPr="003F0C63" w:rsidRDefault="003F0C63" w:rsidP="003F0C63">
      <w:pPr>
        <w:autoSpaceDE w:val="0"/>
        <w:autoSpaceDN w:val="0"/>
        <w:adjustRightInd w:val="0"/>
        <w:ind w:left="340" w:hanging="340"/>
        <w:jc w:val="both"/>
        <w:textAlignment w:val="center"/>
        <w:rPr>
          <w:color w:val="000000"/>
          <w:sz w:val="19"/>
          <w:szCs w:val="19"/>
        </w:rPr>
      </w:pPr>
      <w:r w:rsidRPr="003F0C63">
        <w:rPr>
          <w:b/>
          <w:color w:val="000000"/>
          <w:sz w:val="19"/>
          <w:szCs w:val="19"/>
        </w:rPr>
        <w:t>Rozporządzenie Ministra Środowiska</w:t>
      </w:r>
      <w:r w:rsidRPr="003F0C63">
        <w:rPr>
          <w:color w:val="000000"/>
          <w:sz w:val="19"/>
          <w:szCs w:val="19"/>
        </w:rPr>
        <w:t xml:space="preserve"> z dnia 26 lipca 2002 r. w sprawie rodzajów instalacji mogących powodować znaczne zanieczyszczenie poszczególnych elementów przyrodniczych albo środowiska jako całości. Dz.U. 2002, Nr 122, poz. 1055 (Regulation of Minister of Environment…)</w:t>
      </w:r>
    </w:p>
    <w:p w:rsidR="003F0C63" w:rsidRPr="003F0C63" w:rsidRDefault="003F0C63" w:rsidP="003F0C63">
      <w:pPr>
        <w:autoSpaceDE w:val="0"/>
        <w:autoSpaceDN w:val="0"/>
        <w:adjustRightInd w:val="0"/>
        <w:ind w:left="340" w:hanging="340"/>
        <w:jc w:val="both"/>
        <w:textAlignment w:val="center"/>
        <w:rPr>
          <w:color w:val="000000"/>
          <w:sz w:val="19"/>
          <w:szCs w:val="19"/>
          <w:lang w:val="en-GB"/>
        </w:rPr>
      </w:pPr>
      <w:r w:rsidRPr="003F0C63">
        <w:rPr>
          <w:b/>
          <w:color w:val="000000"/>
          <w:sz w:val="19"/>
          <w:szCs w:val="19"/>
        </w:rPr>
        <w:t xml:space="preserve">Ustawa </w:t>
      </w:r>
      <w:r w:rsidRPr="003F0C63">
        <w:rPr>
          <w:color w:val="000000"/>
          <w:sz w:val="19"/>
          <w:szCs w:val="19"/>
        </w:rPr>
        <w:t xml:space="preserve">z dnia 27 kwietnia 2001 r. o odpadach. Dz.U. 2001, Nr 62, poz. 628 ze zm. </w:t>
      </w:r>
      <w:r w:rsidRPr="003F0C63">
        <w:rPr>
          <w:color w:val="000000"/>
          <w:sz w:val="19"/>
          <w:szCs w:val="19"/>
          <w:lang w:val="en-GB"/>
        </w:rPr>
        <w:t>(Act of Law)</w:t>
      </w:r>
    </w:p>
    <w:p w:rsidR="003F0C63" w:rsidRPr="003F0C63" w:rsidRDefault="003F0C63" w:rsidP="003F0C63">
      <w:pPr>
        <w:autoSpaceDE w:val="0"/>
        <w:autoSpaceDN w:val="0"/>
        <w:adjustRightInd w:val="0"/>
        <w:ind w:left="340" w:hanging="340"/>
        <w:jc w:val="both"/>
        <w:textAlignment w:val="center"/>
        <w:rPr>
          <w:color w:val="000000"/>
          <w:sz w:val="19"/>
          <w:szCs w:val="19"/>
          <w:lang w:val="en-GB"/>
        </w:rPr>
      </w:pPr>
      <w:r w:rsidRPr="003F0C63">
        <w:rPr>
          <w:b/>
          <w:color w:val="000000"/>
          <w:sz w:val="19"/>
          <w:szCs w:val="19"/>
          <w:lang w:val="en-GB"/>
        </w:rPr>
        <w:t>Walichnowski A.</w:t>
      </w:r>
      <w:r w:rsidRPr="003F0C63">
        <w:rPr>
          <w:color w:val="000000"/>
          <w:sz w:val="19"/>
          <w:szCs w:val="19"/>
          <w:lang w:val="en-GB"/>
        </w:rPr>
        <w:t xml:space="preserve"> [2012]: Analiza sposobów przecinania elementów składowych podłóg klejonych warstwowo (Analysis of ways to cut components of glued laminated flooring). Politechnika Gdańska, Gdańsk [unpublished]</w:t>
      </w:r>
    </w:p>
    <w:p w:rsidR="003F0C63" w:rsidRPr="003F0C63" w:rsidRDefault="003F0C63" w:rsidP="003F0C63">
      <w:pPr>
        <w:autoSpaceDE w:val="0"/>
        <w:autoSpaceDN w:val="0"/>
        <w:adjustRightInd w:val="0"/>
        <w:ind w:left="340" w:hanging="340"/>
        <w:jc w:val="both"/>
        <w:textAlignment w:val="center"/>
        <w:rPr>
          <w:color w:val="000000"/>
          <w:sz w:val="19"/>
          <w:szCs w:val="19"/>
          <w:lang w:val="en-GB"/>
        </w:rPr>
      </w:pPr>
    </w:p>
    <w:p w:rsidR="003F0C63" w:rsidRPr="003F0C63" w:rsidRDefault="003F0C63" w:rsidP="003F0C63">
      <w:pPr>
        <w:autoSpaceDE w:val="0"/>
        <w:autoSpaceDN w:val="0"/>
        <w:adjustRightInd w:val="0"/>
        <w:ind w:left="340" w:hanging="340"/>
        <w:jc w:val="both"/>
        <w:textAlignment w:val="center"/>
        <w:rPr>
          <w:b/>
          <w:color w:val="000000"/>
          <w:sz w:val="20"/>
          <w:szCs w:val="19"/>
          <w:lang w:val="en-GB"/>
        </w:rPr>
      </w:pPr>
      <w:r w:rsidRPr="003F0C63">
        <w:rPr>
          <w:b/>
          <w:color w:val="000000"/>
          <w:sz w:val="20"/>
          <w:szCs w:val="19"/>
          <w:lang w:val="en-GB"/>
        </w:rPr>
        <w:t>List of standards</w:t>
      </w:r>
    </w:p>
    <w:p w:rsidR="003F0C63" w:rsidRPr="003F0C63" w:rsidRDefault="003F0C63" w:rsidP="003F0C63">
      <w:pPr>
        <w:autoSpaceDE w:val="0"/>
        <w:autoSpaceDN w:val="0"/>
        <w:adjustRightInd w:val="0"/>
        <w:ind w:left="340" w:hanging="340"/>
        <w:jc w:val="both"/>
        <w:textAlignment w:val="center"/>
        <w:rPr>
          <w:color w:val="000000"/>
          <w:sz w:val="19"/>
          <w:szCs w:val="19"/>
          <w:lang w:val="en-GB"/>
        </w:rPr>
      </w:pPr>
    </w:p>
    <w:p w:rsidR="003F0C63" w:rsidRPr="003F0C63" w:rsidRDefault="003F0C63" w:rsidP="003F0C63">
      <w:pPr>
        <w:autoSpaceDE w:val="0"/>
        <w:autoSpaceDN w:val="0"/>
        <w:adjustRightInd w:val="0"/>
        <w:ind w:left="340" w:hanging="340"/>
        <w:jc w:val="both"/>
        <w:textAlignment w:val="center"/>
        <w:rPr>
          <w:color w:val="000000"/>
          <w:sz w:val="19"/>
          <w:szCs w:val="19"/>
        </w:rPr>
      </w:pPr>
      <w:r w:rsidRPr="003F0C63">
        <w:rPr>
          <w:b/>
          <w:color w:val="000000"/>
          <w:sz w:val="19"/>
          <w:szCs w:val="19"/>
        </w:rPr>
        <w:t>PN-ISO 8756:2000</w:t>
      </w:r>
      <w:r w:rsidRPr="003F0C63">
        <w:rPr>
          <w:color w:val="000000"/>
          <w:sz w:val="19"/>
          <w:szCs w:val="19"/>
        </w:rPr>
        <w:t xml:space="preserve"> Jakość powietrza postępowanie z danymi dotyczącymi temperatury, ciśnienia i wilgotności (Air quality; handling of temperature, pressure and humidity data)</w:t>
      </w:r>
    </w:p>
    <w:p w:rsidR="003F0C63" w:rsidRDefault="003F0C63" w:rsidP="003F0C63">
      <w:pPr>
        <w:autoSpaceDE w:val="0"/>
        <w:autoSpaceDN w:val="0"/>
        <w:adjustRightInd w:val="0"/>
        <w:ind w:left="340" w:hanging="340"/>
        <w:jc w:val="both"/>
        <w:textAlignment w:val="center"/>
        <w:rPr>
          <w:color w:val="000000"/>
          <w:sz w:val="19"/>
          <w:szCs w:val="19"/>
          <w:lang w:val="en-GB"/>
        </w:rPr>
      </w:pPr>
      <w:r w:rsidRPr="003F0C63">
        <w:rPr>
          <w:b/>
          <w:color w:val="000000"/>
          <w:sz w:val="19"/>
          <w:szCs w:val="19"/>
          <w:lang w:val="en-GB"/>
        </w:rPr>
        <w:t>ISO 2758:2001</w:t>
      </w:r>
      <w:r w:rsidRPr="003F0C63">
        <w:rPr>
          <w:color w:val="000000"/>
          <w:sz w:val="19"/>
          <w:szCs w:val="19"/>
          <w:lang w:val="en-GB"/>
        </w:rPr>
        <w:t xml:space="preserve"> Paper – Determination of bursting strength</w:t>
      </w:r>
    </w:p>
    <w:p w:rsidR="006176A2" w:rsidRDefault="006176A2" w:rsidP="006176A2">
      <w:pPr>
        <w:autoSpaceDE w:val="0"/>
        <w:autoSpaceDN w:val="0"/>
        <w:adjustRightInd w:val="0"/>
        <w:ind w:left="340" w:hanging="340"/>
        <w:jc w:val="both"/>
        <w:textAlignment w:val="center"/>
        <w:rPr>
          <w:color w:val="000000"/>
          <w:sz w:val="19"/>
          <w:szCs w:val="19"/>
          <w:lang w:val="en-US"/>
        </w:rPr>
      </w:pPr>
      <w:r w:rsidRPr="007E0936">
        <w:rPr>
          <w:b/>
          <w:bCs/>
          <w:color w:val="000000"/>
          <w:sz w:val="19"/>
          <w:szCs w:val="19"/>
          <w:lang w:val="en-US"/>
        </w:rPr>
        <w:t>EN/ISO 2758</w:t>
      </w:r>
      <w:r w:rsidRPr="006176A2">
        <w:rPr>
          <w:b/>
          <w:color w:val="000000"/>
          <w:sz w:val="19"/>
          <w:szCs w:val="19"/>
          <w:lang w:val="en-US"/>
        </w:rPr>
        <w:t>:2005</w:t>
      </w:r>
      <w:r w:rsidRPr="007E0936">
        <w:rPr>
          <w:color w:val="000000"/>
          <w:sz w:val="19"/>
          <w:szCs w:val="19"/>
          <w:lang w:val="en-US"/>
        </w:rPr>
        <w:t xml:space="preserve"> Paper – Determination of bursting strength</w:t>
      </w:r>
    </w:p>
    <w:p w:rsidR="006176A2" w:rsidRDefault="006176A2" w:rsidP="006176A2">
      <w:pPr>
        <w:autoSpaceDE w:val="0"/>
        <w:autoSpaceDN w:val="0"/>
        <w:adjustRightInd w:val="0"/>
        <w:ind w:left="340" w:hanging="340"/>
        <w:jc w:val="both"/>
        <w:textAlignment w:val="center"/>
        <w:rPr>
          <w:color w:val="000000"/>
          <w:sz w:val="19"/>
          <w:szCs w:val="19"/>
          <w:lang w:val="en-US"/>
        </w:rPr>
      </w:pPr>
    </w:p>
    <w:p w:rsidR="006176A2" w:rsidRPr="006176A2" w:rsidRDefault="006176A2" w:rsidP="003F0C63">
      <w:pPr>
        <w:autoSpaceDE w:val="0"/>
        <w:autoSpaceDN w:val="0"/>
        <w:adjustRightInd w:val="0"/>
        <w:ind w:left="340" w:hanging="340"/>
        <w:jc w:val="both"/>
        <w:textAlignment w:val="center"/>
        <w:rPr>
          <w:color w:val="000000"/>
          <w:sz w:val="19"/>
          <w:szCs w:val="19"/>
          <w:lang w:val="en-US"/>
        </w:rPr>
      </w:pPr>
    </w:p>
    <w:p w:rsidR="00873A72" w:rsidRPr="005704BA" w:rsidRDefault="00873A72" w:rsidP="003B399C">
      <w:pPr>
        <w:rPr>
          <w:b/>
          <w:bCs/>
          <w:lang w:val="en-US"/>
        </w:rPr>
      </w:pPr>
    </w:p>
    <w:p w:rsidR="00CD6053" w:rsidRDefault="00CD6053" w:rsidP="00CD6053">
      <w:pPr>
        <w:spacing w:before="600" w:after="240"/>
        <w:rPr>
          <w:b/>
          <w:bCs/>
          <w:sz w:val="20"/>
          <w:szCs w:val="20"/>
          <w:lang w:val="en-GB"/>
        </w:rPr>
      </w:pPr>
      <w:r>
        <w:rPr>
          <w:b/>
          <w:bCs/>
          <w:sz w:val="20"/>
          <w:szCs w:val="20"/>
          <w:lang w:val="en-GB"/>
        </w:rPr>
        <w:t>A</w:t>
      </w:r>
      <w:r w:rsidRPr="00CD6053">
        <w:rPr>
          <w:b/>
          <w:bCs/>
          <w:sz w:val="20"/>
          <w:szCs w:val="20"/>
          <w:lang w:val="en-GB"/>
        </w:rPr>
        <w:t>cknowledgements</w:t>
      </w:r>
    </w:p>
    <w:p w:rsidR="00CD6053" w:rsidRPr="001F48B9" w:rsidRDefault="00CD6053" w:rsidP="00CD6053">
      <w:pPr>
        <w:rPr>
          <w:i/>
          <w:iCs/>
          <w:color w:val="FF0000"/>
          <w:sz w:val="12"/>
          <w:szCs w:val="12"/>
          <w:lang w:val="en-GB"/>
        </w:rPr>
      </w:pPr>
      <w:r w:rsidRPr="001F48B9">
        <w:rPr>
          <w:sz w:val="22"/>
          <w:szCs w:val="22"/>
          <w:lang w:val="en-GB"/>
        </w:rPr>
        <w:t>Possible other information, remarks, acknowledgements etc. For instance:</w:t>
      </w:r>
      <w:r w:rsidRPr="001F48B9">
        <w:rPr>
          <w:b/>
          <w:bCs/>
          <w:lang w:val="en-GB"/>
        </w:rPr>
        <w:t xml:space="preserve"> </w:t>
      </w:r>
      <w:r w:rsidRPr="003F0C63">
        <w:rPr>
          <w:iCs/>
          <w:sz w:val="22"/>
          <w:szCs w:val="19"/>
          <w:lang w:val="en-GB"/>
        </w:rPr>
        <w:t>Research was carried out under development project (No. …), financed by ….</w:t>
      </w:r>
      <w:r w:rsidRPr="003F0C63">
        <w:rPr>
          <w:i/>
          <w:iCs/>
          <w:sz w:val="22"/>
          <w:szCs w:val="19"/>
          <w:lang w:val="en-GB"/>
        </w:rPr>
        <w:t xml:space="preserve"> </w:t>
      </w:r>
      <w:r w:rsidR="00B1050C">
        <w:rPr>
          <w:i/>
          <w:iCs/>
          <w:color w:val="FF0000"/>
          <w:sz w:val="12"/>
          <w:szCs w:val="12"/>
          <w:lang w:val="en-GB"/>
        </w:rPr>
        <w:t xml:space="preserve">Times New Roman </w:t>
      </w:r>
      <w:r w:rsidR="003F0C63">
        <w:rPr>
          <w:i/>
          <w:iCs/>
          <w:color w:val="FF0000"/>
          <w:sz w:val="12"/>
          <w:szCs w:val="12"/>
          <w:lang w:val="en-GB"/>
        </w:rPr>
        <w:t>11</w:t>
      </w:r>
      <w:r w:rsidR="00B1050C">
        <w:rPr>
          <w:i/>
          <w:iCs/>
          <w:color w:val="FF0000"/>
          <w:sz w:val="12"/>
          <w:szCs w:val="12"/>
          <w:lang w:val="en-GB"/>
        </w:rPr>
        <w:t xml:space="preserve"> pt.,</w:t>
      </w:r>
    </w:p>
    <w:p w:rsidR="00873A72" w:rsidRDefault="00873A72" w:rsidP="003B399C">
      <w:pPr>
        <w:jc w:val="both"/>
        <w:rPr>
          <w:sz w:val="22"/>
          <w:szCs w:val="22"/>
          <w:lang w:val="en-GB"/>
        </w:rPr>
      </w:pPr>
    </w:p>
    <w:p w:rsidR="00CD6053" w:rsidRDefault="00CD6053" w:rsidP="003B399C">
      <w:pPr>
        <w:jc w:val="both"/>
        <w:rPr>
          <w:sz w:val="22"/>
          <w:szCs w:val="22"/>
          <w:lang w:val="en-GB"/>
        </w:rPr>
      </w:pPr>
    </w:p>
    <w:p w:rsidR="00CD6053" w:rsidRDefault="00CD6053" w:rsidP="003B399C">
      <w:pPr>
        <w:jc w:val="both"/>
        <w:rPr>
          <w:sz w:val="22"/>
          <w:szCs w:val="22"/>
          <w:lang w:val="en-GB"/>
        </w:rPr>
      </w:pPr>
    </w:p>
    <w:p w:rsidR="00184371" w:rsidRDefault="00184371" w:rsidP="003B399C">
      <w:pPr>
        <w:jc w:val="both"/>
        <w:rPr>
          <w:sz w:val="22"/>
          <w:szCs w:val="22"/>
          <w:lang w:val="en-GB"/>
        </w:rPr>
      </w:pPr>
    </w:p>
    <w:p w:rsidR="00873A72" w:rsidRPr="001F48B9" w:rsidRDefault="006176A2" w:rsidP="003B399C">
      <w:pPr>
        <w:jc w:val="both"/>
        <w:rPr>
          <w:b/>
          <w:bCs/>
          <w:sz w:val="22"/>
          <w:szCs w:val="22"/>
          <w:lang w:val="en-GB"/>
        </w:rPr>
      </w:pPr>
      <w:r>
        <w:rPr>
          <w:b/>
          <w:bCs/>
          <w:sz w:val="22"/>
          <w:szCs w:val="22"/>
          <w:lang w:val="en-GB"/>
        </w:rPr>
        <w:br w:type="page"/>
      </w:r>
      <w:r w:rsidR="00873A72" w:rsidRPr="001F48B9">
        <w:rPr>
          <w:b/>
          <w:bCs/>
          <w:sz w:val="22"/>
          <w:szCs w:val="22"/>
          <w:lang w:val="en-GB"/>
        </w:rPr>
        <w:lastRenderedPageBreak/>
        <w:t>Comments about the main text:</w:t>
      </w:r>
    </w:p>
    <w:p w:rsidR="005A5F1F" w:rsidRPr="005A5F1F" w:rsidRDefault="00873A72" w:rsidP="005A5F1F">
      <w:pPr>
        <w:jc w:val="both"/>
        <w:rPr>
          <w:sz w:val="22"/>
          <w:szCs w:val="12"/>
          <w:lang w:val="en-GB"/>
        </w:rPr>
      </w:pPr>
      <w:r w:rsidRPr="001F48B9">
        <w:rPr>
          <w:sz w:val="22"/>
          <w:szCs w:val="22"/>
          <w:lang w:val="en-GB"/>
        </w:rPr>
        <w:t>Tables should be numbered with Arab digits. Table’s title (in bold face) should be placed above it and the source under it. Table’s title and text should be in English. Figures should be numbered with Arab digits. Figure’s title (in bold face) and source should be placed under it. Figure’s title and axes’ des</w:t>
      </w:r>
      <w:r w:rsidR="00184371">
        <w:rPr>
          <w:sz w:val="22"/>
          <w:szCs w:val="22"/>
          <w:lang w:val="en-GB"/>
        </w:rPr>
        <w:t>criptions should be in English</w:t>
      </w:r>
      <w:r w:rsidRPr="001F48B9">
        <w:rPr>
          <w:sz w:val="22"/>
          <w:szCs w:val="22"/>
          <w:lang w:val="en-GB"/>
        </w:rPr>
        <w:t>.</w:t>
      </w:r>
      <w:r w:rsidR="005A5F1F" w:rsidRPr="005A5F1F">
        <w:rPr>
          <w:sz w:val="22"/>
          <w:szCs w:val="12"/>
          <w:lang w:val="en-GB"/>
        </w:rPr>
        <w:t xml:space="preserve"> Graphic materials should be prepared in black-and-white version with no additional background. Instead of colour lines, dotes etc. should be used as distinguishing features.</w:t>
      </w:r>
    </w:p>
    <w:p w:rsidR="00873A72" w:rsidRPr="001F48B9" w:rsidRDefault="00873A72" w:rsidP="003B399C">
      <w:pPr>
        <w:jc w:val="both"/>
        <w:rPr>
          <w:sz w:val="22"/>
          <w:szCs w:val="22"/>
          <w:lang w:val="en-GB"/>
        </w:rPr>
      </w:pPr>
    </w:p>
    <w:p w:rsidR="00873A72" w:rsidRPr="001F48B9" w:rsidRDefault="00873A72" w:rsidP="003B399C">
      <w:pPr>
        <w:tabs>
          <w:tab w:val="left" w:pos="9071"/>
        </w:tabs>
        <w:ind w:right="-1"/>
        <w:rPr>
          <w:b/>
          <w:bCs/>
          <w:sz w:val="20"/>
          <w:szCs w:val="20"/>
          <w:lang w:val="en-GB"/>
        </w:rPr>
      </w:pPr>
    </w:p>
    <w:p w:rsidR="00873A72" w:rsidRPr="001F48B9" w:rsidRDefault="00873A72" w:rsidP="003B399C">
      <w:pPr>
        <w:tabs>
          <w:tab w:val="left" w:pos="9071"/>
        </w:tabs>
        <w:ind w:right="-1"/>
        <w:rPr>
          <w:b/>
          <w:bCs/>
          <w:sz w:val="20"/>
          <w:szCs w:val="20"/>
          <w:lang w:val="en-GB"/>
        </w:rPr>
      </w:pPr>
      <w:r w:rsidRPr="001F48B9">
        <w:rPr>
          <w:b/>
          <w:bCs/>
          <w:sz w:val="20"/>
          <w:szCs w:val="20"/>
          <w:lang w:val="en-GB"/>
        </w:rPr>
        <w:t xml:space="preserve">Table </w:t>
      </w:r>
      <w:r w:rsidR="00A7500E" w:rsidRPr="001F48B9">
        <w:rPr>
          <w:b/>
          <w:bCs/>
          <w:sz w:val="20"/>
          <w:szCs w:val="20"/>
          <w:lang w:val="en-GB"/>
        </w:rPr>
        <w:fldChar w:fldCharType="begin"/>
      </w:r>
      <w:r w:rsidRPr="001F48B9">
        <w:rPr>
          <w:b/>
          <w:bCs/>
          <w:sz w:val="20"/>
          <w:szCs w:val="20"/>
          <w:lang w:val="en-GB"/>
        </w:rPr>
        <w:instrText xml:space="preserve"> SEQ Table \* ARABIC </w:instrText>
      </w:r>
      <w:r w:rsidR="00A7500E" w:rsidRPr="001F48B9">
        <w:rPr>
          <w:b/>
          <w:bCs/>
          <w:sz w:val="20"/>
          <w:szCs w:val="20"/>
          <w:lang w:val="en-GB"/>
        </w:rPr>
        <w:fldChar w:fldCharType="separate"/>
      </w:r>
      <w:r w:rsidR="00B1050C">
        <w:rPr>
          <w:b/>
          <w:bCs/>
          <w:noProof/>
          <w:sz w:val="20"/>
          <w:szCs w:val="20"/>
          <w:lang w:val="en-GB"/>
        </w:rPr>
        <w:t>1</w:t>
      </w:r>
      <w:r w:rsidR="00A7500E" w:rsidRPr="001F48B9">
        <w:rPr>
          <w:b/>
          <w:bCs/>
          <w:sz w:val="20"/>
          <w:szCs w:val="20"/>
          <w:lang w:val="en-GB"/>
        </w:rPr>
        <w:fldChar w:fldCharType="end"/>
      </w:r>
      <w:r w:rsidRPr="001F48B9">
        <w:rPr>
          <w:b/>
          <w:bCs/>
          <w:sz w:val="20"/>
          <w:szCs w:val="20"/>
          <w:lang w:val="en-GB"/>
        </w:rPr>
        <w:t xml:space="preserve">. Variants of particleboard production </w:t>
      </w:r>
      <w:r w:rsidRPr="001F48B9">
        <w:rPr>
          <w:color w:val="FF0000"/>
          <w:sz w:val="12"/>
          <w:szCs w:val="12"/>
          <w:lang w:val="en-GB"/>
        </w:rPr>
        <w:t>Times New Roman 10 pt., in bold face, aligned left</w:t>
      </w:r>
    </w:p>
    <w:tbl>
      <w:tblPr>
        <w:tblW w:w="7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88"/>
        <w:gridCol w:w="1540"/>
        <w:gridCol w:w="2058"/>
        <w:gridCol w:w="2058"/>
      </w:tblGrid>
      <w:tr w:rsidR="00873A72" w:rsidRPr="001F48B9">
        <w:trPr>
          <w:trHeight w:val="20"/>
          <w:jc w:val="center"/>
        </w:trPr>
        <w:tc>
          <w:tcPr>
            <w:tcW w:w="1488" w:type="dxa"/>
            <w:tcMar>
              <w:top w:w="57" w:type="dxa"/>
              <w:left w:w="85" w:type="dxa"/>
              <w:bottom w:w="57" w:type="dxa"/>
              <w:right w:w="85" w:type="dxa"/>
            </w:tcMar>
            <w:vAlign w:val="center"/>
          </w:tcPr>
          <w:p w:rsidR="00873A72" w:rsidRPr="001F48B9" w:rsidRDefault="00873A72" w:rsidP="00B1050C">
            <w:pPr>
              <w:jc w:val="center"/>
              <w:rPr>
                <w:i/>
                <w:iCs/>
                <w:sz w:val="17"/>
                <w:szCs w:val="17"/>
                <w:lang w:val="en-GB"/>
              </w:rPr>
            </w:pPr>
            <w:r w:rsidRPr="001F48B9">
              <w:rPr>
                <w:sz w:val="18"/>
                <w:szCs w:val="18"/>
                <w:lang w:val="en-GB"/>
              </w:rPr>
              <w:t xml:space="preserve">Variant </w:t>
            </w:r>
          </w:p>
        </w:tc>
        <w:tc>
          <w:tcPr>
            <w:tcW w:w="1540" w:type="dxa"/>
            <w:tcMar>
              <w:top w:w="57" w:type="dxa"/>
              <w:left w:w="85" w:type="dxa"/>
              <w:bottom w:w="57" w:type="dxa"/>
              <w:right w:w="85" w:type="dxa"/>
            </w:tcMar>
            <w:vAlign w:val="center"/>
          </w:tcPr>
          <w:p w:rsidR="00873A72" w:rsidRPr="001F48B9" w:rsidRDefault="00873A72" w:rsidP="00867A76">
            <w:pPr>
              <w:jc w:val="center"/>
              <w:rPr>
                <w:sz w:val="18"/>
                <w:szCs w:val="18"/>
                <w:lang w:val="en-GB"/>
              </w:rPr>
            </w:pPr>
            <w:r w:rsidRPr="001F48B9">
              <w:rPr>
                <w:sz w:val="18"/>
                <w:szCs w:val="18"/>
                <w:lang w:val="en-GB"/>
              </w:rPr>
              <w:t>1</w:t>
            </w:r>
          </w:p>
        </w:tc>
        <w:tc>
          <w:tcPr>
            <w:tcW w:w="2058" w:type="dxa"/>
            <w:tcMar>
              <w:top w:w="57" w:type="dxa"/>
              <w:left w:w="85" w:type="dxa"/>
              <w:bottom w:w="57" w:type="dxa"/>
              <w:right w:w="85" w:type="dxa"/>
            </w:tcMar>
            <w:vAlign w:val="center"/>
          </w:tcPr>
          <w:p w:rsidR="00873A72" w:rsidRPr="001F48B9" w:rsidRDefault="00873A72" w:rsidP="00867A76">
            <w:pPr>
              <w:jc w:val="center"/>
              <w:rPr>
                <w:sz w:val="18"/>
                <w:szCs w:val="18"/>
                <w:lang w:val="en-GB"/>
              </w:rPr>
            </w:pPr>
            <w:r w:rsidRPr="001F48B9">
              <w:rPr>
                <w:sz w:val="18"/>
                <w:szCs w:val="18"/>
                <w:lang w:val="en-GB"/>
              </w:rPr>
              <w:t>2</w:t>
            </w:r>
          </w:p>
        </w:tc>
        <w:tc>
          <w:tcPr>
            <w:tcW w:w="2058" w:type="dxa"/>
            <w:tcMar>
              <w:top w:w="57" w:type="dxa"/>
              <w:left w:w="85" w:type="dxa"/>
              <w:bottom w:w="57" w:type="dxa"/>
              <w:right w:w="85" w:type="dxa"/>
            </w:tcMar>
            <w:vAlign w:val="center"/>
          </w:tcPr>
          <w:p w:rsidR="00873A72" w:rsidRPr="001F48B9" w:rsidRDefault="00873A72" w:rsidP="00867A76">
            <w:pPr>
              <w:jc w:val="center"/>
              <w:rPr>
                <w:sz w:val="18"/>
                <w:szCs w:val="18"/>
                <w:lang w:val="en-GB"/>
              </w:rPr>
            </w:pPr>
            <w:r w:rsidRPr="001F48B9">
              <w:rPr>
                <w:sz w:val="18"/>
                <w:szCs w:val="18"/>
                <w:lang w:val="en-GB"/>
              </w:rPr>
              <w:t>3</w:t>
            </w:r>
          </w:p>
        </w:tc>
      </w:tr>
      <w:tr w:rsidR="00873A72" w:rsidRPr="001F48B9">
        <w:trPr>
          <w:trHeight w:val="20"/>
          <w:jc w:val="center"/>
        </w:trPr>
        <w:tc>
          <w:tcPr>
            <w:tcW w:w="1488" w:type="dxa"/>
            <w:tcMar>
              <w:top w:w="57" w:type="dxa"/>
              <w:left w:w="85" w:type="dxa"/>
              <w:bottom w:w="57" w:type="dxa"/>
              <w:right w:w="85" w:type="dxa"/>
            </w:tcMar>
          </w:tcPr>
          <w:p w:rsidR="00873A72" w:rsidRPr="001F48B9" w:rsidRDefault="00873A72" w:rsidP="00B1050C">
            <w:pPr>
              <w:rPr>
                <w:i/>
                <w:iCs/>
                <w:sz w:val="18"/>
                <w:szCs w:val="18"/>
                <w:lang w:val="en-GB"/>
              </w:rPr>
            </w:pPr>
            <w:r w:rsidRPr="001F48B9">
              <w:rPr>
                <w:sz w:val="18"/>
                <w:szCs w:val="18"/>
                <w:lang w:val="en-GB"/>
              </w:rPr>
              <w:t>Glue for bonding of chips</w:t>
            </w:r>
            <w:r w:rsidRPr="001F48B9">
              <w:rPr>
                <w:i/>
                <w:iCs/>
                <w:sz w:val="18"/>
                <w:szCs w:val="18"/>
                <w:lang w:val="en-GB"/>
              </w:rPr>
              <w:t xml:space="preserve"> </w:t>
            </w:r>
          </w:p>
        </w:tc>
        <w:tc>
          <w:tcPr>
            <w:tcW w:w="1540" w:type="dxa"/>
            <w:tcMar>
              <w:top w:w="57" w:type="dxa"/>
              <w:left w:w="85" w:type="dxa"/>
              <w:bottom w:w="57" w:type="dxa"/>
              <w:right w:w="85" w:type="dxa"/>
            </w:tcMar>
            <w:vAlign w:val="center"/>
          </w:tcPr>
          <w:p w:rsidR="00873A72" w:rsidRPr="001F48B9" w:rsidRDefault="00873A72" w:rsidP="00867A76">
            <w:pPr>
              <w:jc w:val="center"/>
              <w:rPr>
                <w:sz w:val="18"/>
                <w:szCs w:val="18"/>
                <w:lang w:val="en-GB"/>
              </w:rPr>
            </w:pPr>
            <w:r w:rsidRPr="001F48B9">
              <w:rPr>
                <w:sz w:val="18"/>
                <w:szCs w:val="18"/>
                <w:lang w:val="en-GB"/>
              </w:rPr>
              <w:t>UF</w:t>
            </w:r>
          </w:p>
        </w:tc>
        <w:tc>
          <w:tcPr>
            <w:tcW w:w="2058" w:type="dxa"/>
            <w:tcMar>
              <w:top w:w="57" w:type="dxa"/>
              <w:left w:w="85" w:type="dxa"/>
              <w:bottom w:w="57" w:type="dxa"/>
              <w:right w:w="85" w:type="dxa"/>
            </w:tcMar>
            <w:vAlign w:val="center"/>
          </w:tcPr>
          <w:p w:rsidR="00873A72" w:rsidRPr="001F48B9" w:rsidRDefault="00873A72" w:rsidP="00867A76">
            <w:pPr>
              <w:jc w:val="center"/>
              <w:rPr>
                <w:sz w:val="18"/>
                <w:szCs w:val="18"/>
                <w:lang w:val="en-GB"/>
              </w:rPr>
            </w:pPr>
            <w:r w:rsidRPr="001F48B9">
              <w:rPr>
                <w:sz w:val="18"/>
                <w:szCs w:val="18"/>
                <w:lang w:val="en-GB"/>
              </w:rPr>
              <w:t>PVAc</w:t>
            </w:r>
          </w:p>
        </w:tc>
        <w:tc>
          <w:tcPr>
            <w:tcW w:w="2058" w:type="dxa"/>
            <w:tcMar>
              <w:top w:w="57" w:type="dxa"/>
              <w:left w:w="85" w:type="dxa"/>
              <w:bottom w:w="57" w:type="dxa"/>
              <w:right w:w="85" w:type="dxa"/>
            </w:tcMar>
            <w:vAlign w:val="center"/>
          </w:tcPr>
          <w:p w:rsidR="00873A72" w:rsidRPr="001F48B9" w:rsidRDefault="00873A72" w:rsidP="00867A76">
            <w:pPr>
              <w:jc w:val="center"/>
              <w:rPr>
                <w:sz w:val="18"/>
                <w:szCs w:val="18"/>
                <w:lang w:val="en-GB"/>
              </w:rPr>
            </w:pPr>
            <w:r w:rsidRPr="001F48B9">
              <w:rPr>
                <w:sz w:val="18"/>
                <w:szCs w:val="18"/>
                <w:lang w:val="en-GB"/>
              </w:rPr>
              <w:t>PVAc</w:t>
            </w:r>
          </w:p>
        </w:tc>
      </w:tr>
      <w:tr w:rsidR="00873A72" w:rsidRPr="001F48B9">
        <w:trPr>
          <w:trHeight w:val="20"/>
          <w:jc w:val="center"/>
        </w:trPr>
        <w:tc>
          <w:tcPr>
            <w:tcW w:w="1488" w:type="dxa"/>
            <w:tcMar>
              <w:top w:w="57" w:type="dxa"/>
              <w:left w:w="85" w:type="dxa"/>
              <w:bottom w:w="57" w:type="dxa"/>
              <w:right w:w="85" w:type="dxa"/>
            </w:tcMar>
          </w:tcPr>
          <w:p w:rsidR="00873A72" w:rsidRPr="001F48B9" w:rsidRDefault="00873A72" w:rsidP="00B1050C">
            <w:pPr>
              <w:rPr>
                <w:sz w:val="18"/>
                <w:szCs w:val="18"/>
                <w:lang w:val="en-GB"/>
              </w:rPr>
            </w:pPr>
            <w:r w:rsidRPr="001F48B9">
              <w:rPr>
                <w:sz w:val="18"/>
                <w:szCs w:val="18"/>
                <w:lang w:val="en-GB"/>
              </w:rPr>
              <w:t>Bonding method</w:t>
            </w:r>
            <w:r w:rsidRPr="001F48B9">
              <w:rPr>
                <w:i/>
                <w:iCs/>
                <w:sz w:val="18"/>
                <w:szCs w:val="18"/>
                <w:lang w:val="en-GB"/>
              </w:rPr>
              <w:t xml:space="preserve"> </w:t>
            </w:r>
          </w:p>
        </w:tc>
        <w:tc>
          <w:tcPr>
            <w:tcW w:w="1540" w:type="dxa"/>
            <w:tcMar>
              <w:top w:w="57" w:type="dxa"/>
              <w:left w:w="85" w:type="dxa"/>
              <w:bottom w:w="57" w:type="dxa"/>
              <w:right w:w="85" w:type="dxa"/>
            </w:tcMar>
          </w:tcPr>
          <w:p w:rsidR="00873A72" w:rsidRPr="00AF2D54" w:rsidRDefault="00873A72" w:rsidP="00867A76">
            <w:pPr>
              <w:rPr>
                <w:i/>
                <w:iCs/>
                <w:sz w:val="17"/>
                <w:szCs w:val="17"/>
              </w:rPr>
            </w:pPr>
            <w:r w:rsidRPr="001F48B9">
              <w:rPr>
                <w:sz w:val="18"/>
                <w:szCs w:val="18"/>
                <w:lang w:val="en-GB"/>
              </w:rPr>
              <w:t>3-layer particleboard produced in one phase…</w:t>
            </w:r>
            <w:r w:rsidRPr="001F48B9">
              <w:rPr>
                <w:sz w:val="18"/>
                <w:szCs w:val="18"/>
                <w:lang w:val="en-GB"/>
              </w:rPr>
              <w:br/>
            </w:r>
          </w:p>
          <w:p w:rsidR="00873A72" w:rsidRPr="00AF2D54" w:rsidRDefault="00873A72" w:rsidP="00867A76">
            <w:pPr>
              <w:rPr>
                <w:i/>
                <w:iCs/>
                <w:sz w:val="18"/>
                <w:szCs w:val="18"/>
              </w:rPr>
            </w:pPr>
          </w:p>
        </w:tc>
        <w:tc>
          <w:tcPr>
            <w:tcW w:w="2058" w:type="dxa"/>
            <w:tcMar>
              <w:top w:w="57" w:type="dxa"/>
              <w:left w:w="85" w:type="dxa"/>
              <w:bottom w:w="57" w:type="dxa"/>
              <w:right w:w="85" w:type="dxa"/>
            </w:tcMar>
          </w:tcPr>
          <w:p w:rsidR="00873A72" w:rsidRPr="00AF2D54" w:rsidRDefault="00873A72" w:rsidP="00B1050C">
            <w:pPr>
              <w:rPr>
                <w:i/>
                <w:iCs/>
                <w:sz w:val="18"/>
                <w:szCs w:val="18"/>
              </w:rPr>
            </w:pPr>
            <w:r w:rsidRPr="001F48B9">
              <w:rPr>
                <w:sz w:val="18"/>
                <w:szCs w:val="18"/>
                <w:lang w:val="en-GB"/>
              </w:rPr>
              <w:t>3-layer particleboard with two face layers pressed in hot press and the core layer...</w:t>
            </w:r>
            <w:r w:rsidRPr="001F48B9">
              <w:rPr>
                <w:sz w:val="18"/>
                <w:szCs w:val="18"/>
                <w:lang w:val="en-GB"/>
              </w:rPr>
              <w:br/>
            </w:r>
          </w:p>
        </w:tc>
        <w:tc>
          <w:tcPr>
            <w:tcW w:w="2058" w:type="dxa"/>
            <w:tcMar>
              <w:top w:w="57" w:type="dxa"/>
              <w:left w:w="85" w:type="dxa"/>
              <w:bottom w:w="57" w:type="dxa"/>
              <w:right w:w="85" w:type="dxa"/>
            </w:tcMar>
          </w:tcPr>
          <w:p w:rsidR="00873A72" w:rsidRPr="00AF2D54" w:rsidRDefault="00873A72" w:rsidP="00B1050C">
            <w:pPr>
              <w:rPr>
                <w:i/>
                <w:iCs/>
                <w:sz w:val="18"/>
                <w:szCs w:val="18"/>
              </w:rPr>
            </w:pPr>
            <w:r w:rsidRPr="001F48B9">
              <w:rPr>
                <w:sz w:val="18"/>
                <w:szCs w:val="18"/>
                <w:lang w:val="en-GB"/>
              </w:rPr>
              <w:t>3-layer particleboard with two face layers separately pressed in hot press and bonded with the core layer...</w:t>
            </w:r>
            <w:r w:rsidRPr="001F48B9">
              <w:rPr>
                <w:sz w:val="18"/>
                <w:szCs w:val="18"/>
                <w:lang w:val="en-GB"/>
              </w:rPr>
              <w:br/>
            </w:r>
          </w:p>
        </w:tc>
      </w:tr>
    </w:tbl>
    <w:p w:rsidR="00873A72" w:rsidRPr="001F48B9" w:rsidRDefault="00873A72" w:rsidP="003B399C">
      <w:pPr>
        <w:jc w:val="both"/>
        <w:rPr>
          <w:color w:val="FF0000"/>
          <w:sz w:val="12"/>
          <w:szCs w:val="12"/>
          <w:lang w:val="en-GB"/>
        </w:rPr>
      </w:pPr>
      <w:r w:rsidRPr="001F48B9">
        <w:rPr>
          <w:color w:val="FF0000"/>
          <w:sz w:val="12"/>
          <w:szCs w:val="12"/>
          <w:lang w:val="en-GB"/>
        </w:rPr>
        <w:t xml:space="preserve">Table’s width or height (in the case of landscape layout) 126 mm, </w:t>
      </w:r>
    </w:p>
    <w:p w:rsidR="00873A72" w:rsidRPr="001F48B9" w:rsidRDefault="00873A72" w:rsidP="003B399C">
      <w:pPr>
        <w:jc w:val="both"/>
        <w:rPr>
          <w:color w:val="FF0000"/>
          <w:sz w:val="12"/>
          <w:szCs w:val="12"/>
          <w:lang w:val="en-GB"/>
        </w:rPr>
      </w:pPr>
      <w:r w:rsidRPr="001F48B9">
        <w:rPr>
          <w:color w:val="FF0000"/>
          <w:sz w:val="12"/>
          <w:szCs w:val="12"/>
          <w:lang w:val="en-GB"/>
        </w:rPr>
        <w:t xml:space="preserve">Table’s framing – single lines, no bold face. Text in the table 9 pt., no bold face and no underlining; </w:t>
      </w:r>
    </w:p>
    <w:p w:rsidR="00873A72" w:rsidRPr="001F48B9" w:rsidRDefault="001876CF" w:rsidP="003B399C">
      <w:pPr>
        <w:rPr>
          <w:sz w:val="22"/>
          <w:szCs w:val="22"/>
          <w:lang w:val="en-GB"/>
        </w:rPr>
      </w:pPr>
      <w:r>
        <w:rPr>
          <w:noProof/>
        </w:rPr>
        <w:drawing>
          <wp:anchor distT="0" distB="0" distL="114300" distR="114300" simplePos="0" relativeHeight="251657728" behindDoc="0" locked="0" layoutInCell="1" allowOverlap="1">
            <wp:simplePos x="0" y="0"/>
            <wp:positionH relativeFrom="column">
              <wp:posOffset>461010</wp:posOffset>
            </wp:positionH>
            <wp:positionV relativeFrom="paragraph">
              <wp:posOffset>25400</wp:posOffset>
            </wp:positionV>
            <wp:extent cx="3611245" cy="2071370"/>
            <wp:effectExtent l="19050" t="0" r="8255"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lum bright="-46000"/>
                      <a:grayscl/>
                      <a:biLevel thresh="50000"/>
                    </a:blip>
                    <a:srcRect l="1303" t="2229" r="1303" b="2229"/>
                    <a:stretch>
                      <a:fillRect/>
                    </a:stretch>
                  </pic:blipFill>
                  <pic:spPr bwMode="auto">
                    <a:xfrm>
                      <a:off x="0" y="0"/>
                      <a:ext cx="3611245" cy="2071370"/>
                    </a:xfrm>
                    <a:prstGeom prst="rect">
                      <a:avLst/>
                    </a:prstGeom>
                    <a:noFill/>
                  </pic:spPr>
                </pic:pic>
              </a:graphicData>
            </a:graphic>
          </wp:anchor>
        </w:drawing>
      </w:r>
      <w:r w:rsidR="00A7500E" w:rsidRPr="00A7500E">
        <w:rPr>
          <w:noProof/>
        </w:rPr>
        <w:pict>
          <v:rect id="_x0000_s1030" style="position:absolute;margin-left:0;margin-top:0;width:284.9pt;height:165pt;z-index:251656704;mso-position-horizontal:center;mso-position-horizontal-relative:text;mso-position-vertical-relative:text" o:allowincell="f" strokeweight=".5pt"/>
        </w:pict>
      </w:r>
    </w:p>
    <w:p w:rsidR="00873A72" w:rsidRPr="001F48B9" w:rsidRDefault="00A7500E" w:rsidP="003B399C">
      <w:pPr>
        <w:tabs>
          <w:tab w:val="left" w:pos="9071"/>
        </w:tabs>
        <w:ind w:right="-1"/>
        <w:rPr>
          <w:lang w:val="en-GB"/>
        </w:rPr>
      </w:pPr>
      <w:r>
        <w:rPr>
          <w:noProof/>
        </w:rPr>
        <w:pict>
          <v:shape id="_x0000_s1031" type="#_x0000_t202" style="position:absolute;margin-left:39.9pt;margin-top:.15pt;width:19.95pt;height:2in;z-index:251658752" stroked="f">
            <v:imagedata blacklevel="-13107f" grayscale="t" bilevel="t"/>
            <v:textbox style="layout-flow:vertical;mso-layout-flow-alt:bottom-to-top;mso-next-textbox:#_x0000_s1031" inset="0,0,0,0">
              <w:txbxContent>
                <w:p w:rsidR="00873A72" w:rsidRPr="00C44FE8" w:rsidRDefault="00873A72" w:rsidP="00C44FE8">
                  <w:pPr>
                    <w:jc w:val="center"/>
                    <w:rPr>
                      <w:rFonts w:ascii="Arial" w:hAnsi="Arial" w:cs="Arial"/>
                      <w:sz w:val="15"/>
                      <w:szCs w:val="15"/>
                    </w:rPr>
                  </w:pPr>
                  <w:r w:rsidRPr="00C44FE8">
                    <w:rPr>
                      <w:rFonts w:ascii="Arial" w:hAnsi="Arial" w:cs="Arial"/>
                      <w:sz w:val="16"/>
                      <w:szCs w:val="16"/>
                    </w:rPr>
                    <w:t>Viscosity [mPas]</w:t>
                  </w:r>
                </w:p>
              </w:txbxContent>
            </v:textbox>
          </v:shape>
        </w:pict>
      </w:r>
    </w:p>
    <w:p w:rsidR="00873A72" w:rsidRPr="001F48B9" w:rsidRDefault="00873A72" w:rsidP="003B399C">
      <w:pPr>
        <w:tabs>
          <w:tab w:val="left" w:pos="9071"/>
        </w:tabs>
        <w:ind w:right="-1"/>
        <w:rPr>
          <w:lang w:val="en-GB"/>
        </w:rPr>
      </w:pPr>
    </w:p>
    <w:p w:rsidR="00873A72" w:rsidRPr="001F48B9" w:rsidRDefault="00873A72" w:rsidP="003B399C">
      <w:pPr>
        <w:tabs>
          <w:tab w:val="left" w:pos="9071"/>
        </w:tabs>
        <w:ind w:right="-1"/>
        <w:rPr>
          <w:lang w:val="en-GB"/>
        </w:rPr>
      </w:pPr>
    </w:p>
    <w:p w:rsidR="00873A72" w:rsidRPr="001F48B9" w:rsidRDefault="00873A72" w:rsidP="003B399C">
      <w:pPr>
        <w:tabs>
          <w:tab w:val="left" w:pos="9071"/>
        </w:tabs>
        <w:ind w:right="-1"/>
        <w:rPr>
          <w:lang w:val="en-GB"/>
        </w:rPr>
      </w:pPr>
    </w:p>
    <w:p w:rsidR="00873A72" w:rsidRPr="001F48B9" w:rsidRDefault="00873A72" w:rsidP="003B399C">
      <w:pPr>
        <w:tabs>
          <w:tab w:val="left" w:pos="9071"/>
        </w:tabs>
        <w:ind w:right="-1"/>
        <w:rPr>
          <w:lang w:val="en-GB"/>
        </w:rPr>
      </w:pPr>
    </w:p>
    <w:p w:rsidR="00873A72" w:rsidRPr="001F48B9" w:rsidRDefault="00873A72" w:rsidP="003B399C">
      <w:pPr>
        <w:tabs>
          <w:tab w:val="left" w:pos="9071"/>
        </w:tabs>
        <w:ind w:right="-1"/>
        <w:rPr>
          <w:lang w:val="en-GB"/>
        </w:rPr>
      </w:pPr>
    </w:p>
    <w:p w:rsidR="00873A72" w:rsidRPr="001F48B9" w:rsidRDefault="00873A72" w:rsidP="003B399C">
      <w:pPr>
        <w:tabs>
          <w:tab w:val="left" w:pos="9071"/>
        </w:tabs>
        <w:ind w:right="-1"/>
        <w:rPr>
          <w:lang w:val="en-GB"/>
        </w:rPr>
      </w:pPr>
    </w:p>
    <w:p w:rsidR="00873A72" w:rsidRPr="001F48B9" w:rsidRDefault="00873A72" w:rsidP="003B399C">
      <w:pPr>
        <w:tabs>
          <w:tab w:val="left" w:pos="9071"/>
        </w:tabs>
        <w:ind w:right="-1"/>
        <w:rPr>
          <w:lang w:val="en-GB"/>
        </w:rPr>
      </w:pPr>
    </w:p>
    <w:p w:rsidR="00873A72" w:rsidRPr="001F48B9" w:rsidRDefault="00873A72" w:rsidP="003B399C">
      <w:pPr>
        <w:tabs>
          <w:tab w:val="left" w:pos="9071"/>
        </w:tabs>
        <w:ind w:right="-1"/>
        <w:rPr>
          <w:lang w:val="en-GB"/>
        </w:rPr>
      </w:pPr>
    </w:p>
    <w:p w:rsidR="00873A72" w:rsidRPr="001F48B9" w:rsidRDefault="00A7500E" w:rsidP="003B399C">
      <w:pPr>
        <w:tabs>
          <w:tab w:val="left" w:pos="9071"/>
        </w:tabs>
        <w:spacing w:before="200"/>
        <w:ind w:left="709"/>
        <w:rPr>
          <w:b/>
          <w:bCs/>
          <w:sz w:val="20"/>
          <w:szCs w:val="20"/>
          <w:lang w:val="en-GB"/>
        </w:rPr>
      </w:pPr>
      <w:r w:rsidRPr="00A7500E">
        <w:rPr>
          <w:noProof/>
        </w:rPr>
        <w:pict>
          <v:shape id="_x0000_s1032" type="#_x0000_t202" style="position:absolute;left:0;text-align:left;margin-left:148.5pt;margin-top:7.05pt;width:102.3pt;height:20.1pt;z-index:251659776" stroked="f">
            <v:textbox inset="0,0,0,0">
              <w:txbxContent>
                <w:p w:rsidR="00873A72" w:rsidRPr="00B125A4" w:rsidRDefault="00873A72" w:rsidP="00C44FE8">
                  <w:pPr>
                    <w:rPr>
                      <w:rFonts w:ascii="Arial" w:hAnsi="Arial" w:cs="Arial"/>
                      <w:sz w:val="16"/>
                      <w:szCs w:val="16"/>
                    </w:rPr>
                  </w:pPr>
                  <w:r w:rsidRPr="00B125A4">
                    <w:rPr>
                      <w:rFonts w:ascii="Arial" w:hAnsi="Arial" w:cs="Arial"/>
                      <w:sz w:val="16"/>
                      <w:szCs w:val="16"/>
                    </w:rPr>
                    <w:t>Temperature [0C]</w:t>
                  </w:r>
                </w:p>
                <w:p w:rsidR="00873A72" w:rsidRDefault="00873A72"/>
              </w:txbxContent>
            </v:textbox>
          </v:shape>
        </w:pict>
      </w:r>
    </w:p>
    <w:p w:rsidR="00873A72" w:rsidRPr="001F48B9" w:rsidRDefault="00873A72" w:rsidP="003B399C">
      <w:pPr>
        <w:tabs>
          <w:tab w:val="left" w:pos="9071"/>
        </w:tabs>
        <w:spacing w:before="200"/>
        <w:ind w:left="709"/>
        <w:rPr>
          <w:b/>
          <w:bCs/>
          <w:sz w:val="20"/>
          <w:szCs w:val="20"/>
          <w:lang w:val="en-GB"/>
        </w:rPr>
      </w:pPr>
    </w:p>
    <w:p w:rsidR="00873A72" w:rsidRPr="001F48B9" w:rsidRDefault="00873A72" w:rsidP="003B399C">
      <w:pPr>
        <w:tabs>
          <w:tab w:val="left" w:pos="9071"/>
        </w:tabs>
        <w:ind w:left="709"/>
        <w:rPr>
          <w:color w:val="FF0000"/>
          <w:sz w:val="12"/>
          <w:szCs w:val="12"/>
          <w:lang w:val="en-GB"/>
        </w:rPr>
      </w:pPr>
      <w:r w:rsidRPr="001F48B9">
        <w:rPr>
          <w:b/>
          <w:bCs/>
          <w:sz w:val="20"/>
          <w:szCs w:val="20"/>
          <w:lang w:val="en-GB"/>
        </w:rPr>
        <w:t xml:space="preserve">Fig. 1. The dependence of PVAc glue viscosity on temperature </w:t>
      </w:r>
      <w:r w:rsidRPr="001F48B9">
        <w:rPr>
          <w:color w:val="FF0000"/>
          <w:sz w:val="12"/>
          <w:szCs w:val="12"/>
          <w:lang w:val="en-GB"/>
        </w:rPr>
        <w:t>Times New Roman 10 pt., in boldface, aligned left</w:t>
      </w:r>
    </w:p>
    <w:p w:rsidR="005A5F1F" w:rsidRDefault="005A5F1F" w:rsidP="003B399C">
      <w:pPr>
        <w:jc w:val="both"/>
        <w:rPr>
          <w:sz w:val="18"/>
          <w:szCs w:val="12"/>
          <w:lang w:val="en-GB"/>
        </w:rPr>
      </w:pPr>
    </w:p>
    <w:p w:rsidR="005A5F1F" w:rsidRDefault="005A5F1F" w:rsidP="003B399C">
      <w:pPr>
        <w:jc w:val="both"/>
        <w:rPr>
          <w:sz w:val="22"/>
          <w:szCs w:val="12"/>
          <w:lang w:val="en-GB"/>
        </w:rPr>
      </w:pPr>
    </w:p>
    <w:p w:rsidR="00873A72" w:rsidRPr="001F48B9" w:rsidRDefault="00873A72">
      <w:pPr>
        <w:rPr>
          <w:lang w:val="en-GB"/>
        </w:rPr>
      </w:pPr>
    </w:p>
    <w:sectPr w:rsidR="00873A72" w:rsidRPr="001F48B9" w:rsidSect="00B51626">
      <w:headerReference w:type="even" r:id="rId7"/>
      <w:headerReference w:type="default" r:id="rId8"/>
      <w:headerReference w:type="first" r:id="rId9"/>
      <w:pgSz w:w="11907" w:h="16840" w:code="9"/>
      <w:pgMar w:top="3062" w:right="2381" w:bottom="3119" w:left="2381" w:header="2495" w:footer="567"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21" w:rsidRDefault="00432021" w:rsidP="003B399C">
      <w:r>
        <w:separator/>
      </w:r>
    </w:p>
  </w:endnote>
  <w:endnote w:type="continuationSeparator" w:id="0">
    <w:p w:rsidR="00432021" w:rsidRDefault="00432021" w:rsidP="003B39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21" w:rsidRDefault="00432021" w:rsidP="003B399C">
      <w:r>
        <w:separator/>
      </w:r>
    </w:p>
  </w:footnote>
  <w:footnote w:type="continuationSeparator" w:id="0">
    <w:p w:rsidR="00432021" w:rsidRDefault="00432021" w:rsidP="003B399C">
      <w:r>
        <w:continuationSeparator/>
      </w:r>
    </w:p>
  </w:footnote>
  <w:footnote w:id="1">
    <w:p w:rsidR="00873A72" w:rsidRPr="00D2371B" w:rsidRDefault="00562E92" w:rsidP="007F19AF">
      <w:pPr>
        <w:pStyle w:val="Tekstprzypisudolnego"/>
        <w:tabs>
          <w:tab w:val="left" w:pos="456"/>
        </w:tabs>
        <w:ind w:left="456"/>
        <w:jc w:val="both"/>
        <w:rPr>
          <w:lang w:val="en-US"/>
        </w:rPr>
      </w:pPr>
      <w:r>
        <w:rPr>
          <w:bCs/>
          <w:lang w:val="en-GB"/>
        </w:rPr>
        <w:t>Jan</w:t>
      </w:r>
      <w:r w:rsidR="00B1050C" w:rsidRPr="00B1050C">
        <w:rPr>
          <w:bCs/>
          <w:lang w:val="en-GB"/>
        </w:rPr>
        <w:t xml:space="preserve"> </w:t>
      </w:r>
      <w:r>
        <w:rPr>
          <w:bCs/>
          <w:smallCaps/>
          <w:lang w:val="en-GB"/>
        </w:rPr>
        <w:t>Kowalski</w:t>
      </w:r>
      <w:r w:rsidR="00B1050C">
        <w:rPr>
          <w:smallCaps/>
          <w:lang w:val="en-US"/>
        </w:rPr>
        <w:t xml:space="preserve"> </w:t>
      </w:r>
      <w:r w:rsidR="007F19AF">
        <w:rPr>
          <w:smallCaps/>
          <w:lang w:val="en-US"/>
        </w:rPr>
        <w:t>(</w:t>
      </w:r>
      <w:r w:rsidR="007F19AF" w:rsidRPr="00B167AD">
        <w:rPr>
          <w:i/>
          <w:lang w:val="en-US"/>
        </w:rPr>
        <w:t>e-mail</w:t>
      </w:r>
      <w:r w:rsidR="007F19AF" w:rsidRPr="007F19AF">
        <w:rPr>
          <w:lang w:val="en-US"/>
        </w:rPr>
        <w:t>)</w:t>
      </w:r>
      <w:r w:rsidR="00873A72" w:rsidRPr="00E02EA3">
        <w:rPr>
          <w:lang w:val="en-US"/>
        </w:rPr>
        <w:t xml:space="preserve">, </w:t>
      </w:r>
      <w:r>
        <w:rPr>
          <w:bCs/>
          <w:lang w:val="en-GB"/>
        </w:rPr>
        <w:t>Krystyna</w:t>
      </w:r>
      <w:r w:rsidR="00B1050C" w:rsidRPr="00B1050C">
        <w:rPr>
          <w:bCs/>
          <w:lang w:val="en-GB"/>
        </w:rPr>
        <w:t xml:space="preserve"> </w:t>
      </w:r>
      <w:r w:rsidR="00B1050C" w:rsidRPr="00B1050C">
        <w:rPr>
          <w:bCs/>
          <w:smallCaps/>
          <w:lang w:val="en-GB"/>
        </w:rPr>
        <w:t>Nowak</w:t>
      </w:r>
      <w:r w:rsidR="007F19AF">
        <w:rPr>
          <w:smallCaps/>
          <w:lang w:val="en-US"/>
        </w:rPr>
        <w:t xml:space="preserve"> (</w:t>
      </w:r>
      <w:r w:rsidR="007F19AF" w:rsidRPr="00B167AD">
        <w:rPr>
          <w:i/>
          <w:lang w:val="en-US"/>
        </w:rPr>
        <w:t>e-mail</w:t>
      </w:r>
      <w:r w:rsidR="007F19AF" w:rsidRPr="007F19AF">
        <w:rPr>
          <w:lang w:val="en-US"/>
        </w:rPr>
        <w:t>)</w:t>
      </w:r>
      <w:r w:rsidR="007F19AF" w:rsidRPr="00E02EA3">
        <w:rPr>
          <w:lang w:val="en-US"/>
        </w:rPr>
        <w:t xml:space="preserve">, </w:t>
      </w:r>
      <w:r w:rsidR="00873A72" w:rsidRPr="00E02EA3">
        <w:rPr>
          <w:lang w:val="en-US"/>
        </w:rPr>
        <w:t>af</w:t>
      </w:r>
      <w:r w:rsidR="00873A72">
        <w:rPr>
          <w:lang w:val="en-US"/>
        </w:rPr>
        <w:t>f</w:t>
      </w:r>
      <w:r w:rsidR="00873A72" w:rsidRPr="00E02EA3">
        <w:rPr>
          <w:lang w:val="en-US"/>
        </w:rPr>
        <w:t>iliated institution</w:t>
      </w:r>
      <w:r w:rsidR="00764414">
        <w:rPr>
          <w:lang w:val="en-US"/>
        </w:rPr>
        <w:t xml:space="preserve"> (for all authors from the same institution)</w:t>
      </w:r>
      <w:r w:rsidR="00873A72" w:rsidRPr="00E02EA3">
        <w:rPr>
          <w:lang w:val="en-US"/>
        </w:rPr>
        <w:t xml:space="preserve">, </w:t>
      </w:r>
      <w:r w:rsidR="004654D7">
        <w:rPr>
          <w:lang w:val="en-US"/>
        </w:rPr>
        <w:t>city</w:t>
      </w:r>
      <w:r w:rsidR="00764414">
        <w:rPr>
          <w:lang w:val="en-US"/>
        </w:rPr>
        <w:t>, country;</w:t>
      </w:r>
      <w:r w:rsidR="007F19AF">
        <w:rPr>
          <w:lang w:val="en-US"/>
        </w:rPr>
        <w:t xml:space="preserve"> </w:t>
      </w:r>
      <w:r w:rsidR="00B1050C" w:rsidRPr="00B1050C">
        <w:rPr>
          <w:bCs/>
          <w:lang w:val="en-GB"/>
        </w:rPr>
        <w:t xml:space="preserve">Adam </w:t>
      </w:r>
      <w:r w:rsidR="00B1050C" w:rsidRPr="00B1050C">
        <w:rPr>
          <w:bCs/>
          <w:smallCaps/>
          <w:lang w:val="en-GB"/>
        </w:rPr>
        <w:t>Adamski</w:t>
      </w:r>
      <w:r w:rsidR="00B1050C" w:rsidRPr="001F48B9">
        <w:rPr>
          <w:rStyle w:val="Odwoanieprzypisudolnego"/>
          <w:b/>
          <w:bCs/>
          <w:smallCaps/>
          <w:lang w:val="en-GB"/>
        </w:rPr>
        <w:t xml:space="preserve"> </w:t>
      </w:r>
      <w:r w:rsidR="00764414">
        <w:rPr>
          <w:rStyle w:val="Odwoanieprzypisudolnego"/>
          <w:b/>
          <w:bCs/>
          <w:smallCaps/>
          <w:lang w:val="en-GB"/>
        </w:rPr>
        <w:t xml:space="preserve"> </w:t>
      </w:r>
      <w:r w:rsidR="007F19AF">
        <w:rPr>
          <w:smallCaps/>
          <w:lang w:val="en-US"/>
        </w:rPr>
        <w:t>(</w:t>
      </w:r>
      <w:r w:rsidR="007F19AF" w:rsidRPr="00B167AD">
        <w:rPr>
          <w:i/>
          <w:lang w:val="en-US"/>
        </w:rPr>
        <w:t>e-mail</w:t>
      </w:r>
      <w:r w:rsidR="007F19AF" w:rsidRPr="007F19AF">
        <w:rPr>
          <w:lang w:val="en-US"/>
        </w:rPr>
        <w:t>)</w:t>
      </w:r>
      <w:r w:rsidR="007F19AF" w:rsidRPr="00E02EA3">
        <w:rPr>
          <w:lang w:val="en-US"/>
        </w:rPr>
        <w:t>,</w:t>
      </w:r>
      <w:r w:rsidR="007F19AF" w:rsidRPr="007F19AF">
        <w:rPr>
          <w:lang w:val="en-US"/>
        </w:rPr>
        <w:t xml:space="preserve"> </w:t>
      </w:r>
      <w:r w:rsidR="007F19AF" w:rsidRPr="00E02EA3">
        <w:rPr>
          <w:lang w:val="en-US"/>
        </w:rPr>
        <w:t>af</w:t>
      </w:r>
      <w:r w:rsidR="007F19AF">
        <w:rPr>
          <w:lang w:val="en-US"/>
        </w:rPr>
        <w:t>f</w:t>
      </w:r>
      <w:r w:rsidR="007F19AF" w:rsidRPr="00E02EA3">
        <w:rPr>
          <w:lang w:val="en-US"/>
        </w:rPr>
        <w:t xml:space="preserve">iliated institution, </w:t>
      </w:r>
      <w:r w:rsidR="007F19AF">
        <w:rPr>
          <w:lang w:val="en-US"/>
        </w:rPr>
        <w:t>city, country</w:t>
      </w:r>
    </w:p>
    <w:p w:rsidR="00873A72" w:rsidRPr="00AF2D54" w:rsidRDefault="00873A72" w:rsidP="003B399C">
      <w:pPr>
        <w:pStyle w:val="Tekstprzypisudolnego"/>
        <w:tabs>
          <w:tab w:val="left" w:pos="456"/>
        </w:tabs>
        <w:ind w:left="456"/>
        <w:rPr>
          <w:lang w:val="en-US"/>
        </w:rPr>
      </w:pPr>
      <w:r w:rsidRPr="006F4E24">
        <w:rPr>
          <w:color w:val="FF0000"/>
          <w:sz w:val="12"/>
          <w:szCs w:val="12"/>
          <w:lang w:val="it-IT"/>
        </w:rPr>
        <w:t>Times New Roman 9</w:t>
      </w:r>
      <w:r w:rsidR="004654D7">
        <w:rPr>
          <w:color w:val="FF0000"/>
          <w:sz w:val="12"/>
          <w:szCs w:val="12"/>
          <w:lang w:val="it-IT"/>
        </w:rPr>
        <w:t xml:space="preserve"> </w:t>
      </w:r>
      <w:r>
        <w:rPr>
          <w:color w:val="FF0000"/>
          <w:sz w:val="12"/>
          <w:szCs w:val="12"/>
          <w:lang w:val="it-IT"/>
        </w:rPr>
        <w:t>pt.,</w:t>
      </w:r>
      <w:r w:rsidRPr="006F4E24">
        <w:rPr>
          <w:color w:val="FF0000"/>
          <w:sz w:val="12"/>
          <w:szCs w:val="12"/>
          <w:lang w:val="it-IT"/>
        </w:rPr>
        <w:t xml:space="preserve"> </w:t>
      </w:r>
      <w:r>
        <w:rPr>
          <w:color w:val="FF0000"/>
          <w:sz w:val="12"/>
          <w:szCs w:val="12"/>
          <w:lang w:val="it-IT"/>
        </w:rPr>
        <w:t>left indentation</w:t>
      </w:r>
      <w:r w:rsidRPr="006F4E24">
        <w:rPr>
          <w:color w:val="FF0000"/>
          <w:sz w:val="12"/>
          <w:szCs w:val="12"/>
          <w:lang w:val="it-IT"/>
        </w:rPr>
        <w:t xml:space="preserve"> 8</w:t>
      </w:r>
      <w:r>
        <w:rPr>
          <w:color w:val="FF0000"/>
          <w:sz w:val="12"/>
          <w:szCs w:val="12"/>
          <w:lang w:val="it-IT"/>
        </w:rPr>
        <w:t xml:space="preserve"> </w:t>
      </w:r>
      <w:r w:rsidRPr="006F4E24">
        <w:rPr>
          <w:color w:val="FF0000"/>
          <w:sz w:val="12"/>
          <w:szCs w:val="12"/>
          <w:lang w:val="it-IT"/>
        </w:rPr>
        <w:t xml:space="preserve">mm, </w:t>
      </w:r>
      <w:r>
        <w:rPr>
          <w:color w:val="FF0000"/>
          <w:sz w:val="12"/>
          <w:szCs w:val="12"/>
          <w:lang w:val="it-IT"/>
        </w:rPr>
        <w:t>justified, surnames in small capitals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72" w:rsidRPr="00B96351" w:rsidRDefault="00A7500E" w:rsidP="00E52151">
    <w:pPr>
      <w:spacing w:line="200" w:lineRule="exact"/>
      <w:jc w:val="center"/>
      <w:rPr>
        <w:sz w:val="16"/>
        <w:szCs w:val="16"/>
      </w:rPr>
    </w:pPr>
    <w:r w:rsidRPr="00A7500E">
      <w:rPr>
        <w:noProof/>
      </w:rPr>
      <w:pict>
        <v:line id="_x0000_s2049" style="position:absolute;left:0;text-align:left;z-index:251658240;mso-position-horizontal:center" from="0,12.2pt" to="357.25pt,12.2pt" o:allowincell="f" strokeweight=".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72" w:rsidRPr="00297E60" w:rsidRDefault="00A7500E" w:rsidP="00E52151">
    <w:pPr>
      <w:spacing w:line="200" w:lineRule="exact"/>
      <w:jc w:val="center"/>
      <w:rPr>
        <w:sz w:val="16"/>
        <w:szCs w:val="16"/>
        <w:lang w:val="en-US"/>
      </w:rPr>
    </w:pPr>
    <w:r w:rsidRPr="00A7500E">
      <w:rPr>
        <w:noProof/>
      </w:rPr>
      <w:pict>
        <v:line id="_x0000_s2050" style="position:absolute;left:0;text-align:left;z-index:251657216;mso-position-horizontal:center" from="0,12.2pt" to="357.15pt,12.2pt" o:allowincell="f" strokeweight=".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72" w:rsidRPr="00922188" w:rsidRDefault="00873A72" w:rsidP="0080577B">
    <w:pPr>
      <w:pStyle w:val="Nagwek"/>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3B399C"/>
    <w:rsid w:val="000118D7"/>
    <w:rsid w:val="00015236"/>
    <w:rsid w:val="00035DC9"/>
    <w:rsid w:val="000425AE"/>
    <w:rsid w:val="00052E13"/>
    <w:rsid w:val="00061360"/>
    <w:rsid w:val="0009650D"/>
    <w:rsid w:val="000A4EDF"/>
    <w:rsid w:val="000E02AB"/>
    <w:rsid w:val="000E2F60"/>
    <w:rsid w:val="001154E4"/>
    <w:rsid w:val="0012229A"/>
    <w:rsid w:val="00160BF1"/>
    <w:rsid w:val="00164F1F"/>
    <w:rsid w:val="00183B58"/>
    <w:rsid w:val="00184371"/>
    <w:rsid w:val="001876CF"/>
    <w:rsid w:val="001D4B94"/>
    <w:rsid w:val="001F48B9"/>
    <w:rsid w:val="00211BB6"/>
    <w:rsid w:val="00217552"/>
    <w:rsid w:val="0023042B"/>
    <w:rsid w:val="00241ECC"/>
    <w:rsid w:val="00253E96"/>
    <w:rsid w:val="0025487D"/>
    <w:rsid w:val="002565E4"/>
    <w:rsid w:val="00256E1F"/>
    <w:rsid w:val="0027096C"/>
    <w:rsid w:val="0029175F"/>
    <w:rsid w:val="00297E60"/>
    <w:rsid w:val="002B2CAA"/>
    <w:rsid w:val="002C7B1C"/>
    <w:rsid w:val="002D29A8"/>
    <w:rsid w:val="002E2D51"/>
    <w:rsid w:val="00303DCC"/>
    <w:rsid w:val="00304B2F"/>
    <w:rsid w:val="00321212"/>
    <w:rsid w:val="00327C1F"/>
    <w:rsid w:val="00353EA3"/>
    <w:rsid w:val="00365F13"/>
    <w:rsid w:val="00367C85"/>
    <w:rsid w:val="003774DE"/>
    <w:rsid w:val="00384C27"/>
    <w:rsid w:val="00397FD2"/>
    <w:rsid w:val="003B0F53"/>
    <w:rsid w:val="003B399C"/>
    <w:rsid w:val="003D51BD"/>
    <w:rsid w:val="003E143B"/>
    <w:rsid w:val="003F0C63"/>
    <w:rsid w:val="003F7371"/>
    <w:rsid w:val="00411477"/>
    <w:rsid w:val="00432021"/>
    <w:rsid w:val="004654D7"/>
    <w:rsid w:val="0049160F"/>
    <w:rsid w:val="004A6C63"/>
    <w:rsid w:val="004A730A"/>
    <w:rsid w:val="0050008A"/>
    <w:rsid w:val="00562E92"/>
    <w:rsid w:val="005704BA"/>
    <w:rsid w:val="0058479D"/>
    <w:rsid w:val="005A5F1F"/>
    <w:rsid w:val="005B4F86"/>
    <w:rsid w:val="005C0B68"/>
    <w:rsid w:val="005E6992"/>
    <w:rsid w:val="005F1727"/>
    <w:rsid w:val="006176A2"/>
    <w:rsid w:val="0065347F"/>
    <w:rsid w:val="00697011"/>
    <w:rsid w:val="006A58BB"/>
    <w:rsid w:val="006C40AE"/>
    <w:rsid w:val="006D41A4"/>
    <w:rsid w:val="006E46E0"/>
    <w:rsid w:val="006F48FF"/>
    <w:rsid w:val="006F4E24"/>
    <w:rsid w:val="00710E09"/>
    <w:rsid w:val="007469AD"/>
    <w:rsid w:val="00747F82"/>
    <w:rsid w:val="00754B66"/>
    <w:rsid w:val="00764414"/>
    <w:rsid w:val="00775BA4"/>
    <w:rsid w:val="00785E69"/>
    <w:rsid w:val="007960D6"/>
    <w:rsid w:val="007A435A"/>
    <w:rsid w:val="007B685E"/>
    <w:rsid w:val="007C19FF"/>
    <w:rsid w:val="007F19AF"/>
    <w:rsid w:val="0080577B"/>
    <w:rsid w:val="00817E79"/>
    <w:rsid w:val="008223EE"/>
    <w:rsid w:val="008272A9"/>
    <w:rsid w:val="00840B87"/>
    <w:rsid w:val="00867A76"/>
    <w:rsid w:val="00873A72"/>
    <w:rsid w:val="008C4A72"/>
    <w:rsid w:val="008D514F"/>
    <w:rsid w:val="008F549F"/>
    <w:rsid w:val="00902DBF"/>
    <w:rsid w:val="009162BD"/>
    <w:rsid w:val="00922188"/>
    <w:rsid w:val="00941074"/>
    <w:rsid w:val="00943C17"/>
    <w:rsid w:val="0097196E"/>
    <w:rsid w:val="00990876"/>
    <w:rsid w:val="00990B82"/>
    <w:rsid w:val="009C56A0"/>
    <w:rsid w:val="009C5D35"/>
    <w:rsid w:val="00A701FA"/>
    <w:rsid w:val="00A7500E"/>
    <w:rsid w:val="00A7774A"/>
    <w:rsid w:val="00A801D8"/>
    <w:rsid w:val="00A81561"/>
    <w:rsid w:val="00A8362F"/>
    <w:rsid w:val="00A975C9"/>
    <w:rsid w:val="00AB7AEB"/>
    <w:rsid w:val="00AC3CB5"/>
    <w:rsid w:val="00AD5953"/>
    <w:rsid w:val="00AD6425"/>
    <w:rsid w:val="00AD7461"/>
    <w:rsid w:val="00AD7A97"/>
    <w:rsid w:val="00AF1677"/>
    <w:rsid w:val="00AF2D54"/>
    <w:rsid w:val="00B01A3C"/>
    <w:rsid w:val="00B0299C"/>
    <w:rsid w:val="00B1050C"/>
    <w:rsid w:val="00B125A4"/>
    <w:rsid w:val="00B167AD"/>
    <w:rsid w:val="00B51626"/>
    <w:rsid w:val="00B5499E"/>
    <w:rsid w:val="00B96351"/>
    <w:rsid w:val="00BB3C98"/>
    <w:rsid w:val="00BE2D6E"/>
    <w:rsid w:val="00C15D2E"/>
    <w:rsid w:val="00C44FE8"/>
    <w:rsid w:val="00C62D77"/>
    <w:rsid w:val="00CA0575"/>
    <w:rsid w:val="00CB165D"/>
    <w:rsid w:val="00CD6053"/>
    <w:rsid w:val="00CE019D"/>
    <w:rsid w:val="00CE6194"/>
    <w:rsid w:val="00CE7D2E"/>
    <w:rsid w:val="00CF034E"/>
    <w:rsid w:val="00D075EC"/>
    <w:rsid w:val="00D22C9C"/>
    <w:rsid w:val="00D2371B"/>
    <w:rsid w:val="00D63938"/>
    <w:rsid w:val="00D72721"/>
    <w:rsid w:val="00E02EA3"/>
    <w:rsid w:val="00E11FA7"/>
    <w:rsid w:val="00E171D4"/>
    <w:rsid w:val="00E42A3A"/>
    <w:rsid w:val="00E52151"/>
    <w:rsid w:val="00E70599"/>
    <w:rsid w:val="00E977D3"/>
    <w:rsid w:val="00EC02B2"/>
    <w:rsid w:val="00EC1510"/>
    <w:rsid w:val="00EE1395"/>
    <w:rsid w:val="00F04879"/>
    <w:rsid w:val="00F10807"/>
    <w:rsid w:val="00F167D6"/>
    <w:rsid w:val="00F246E4"/>
    <w:rsid w:val="00F33AF2"/>
    <w:rsid w:val="00F3475E"/>
    <w:rsid w:val="00F449D2"/>
    <w:rsid w:val="00F52F76"/>
    <w:rsid w:val="00F5434C"/>
    <w:rsid w:val="00F56C81"/>
    <w:rsid w:val="00F61646"/>
    <w:rsid w:val="00F77F53"/>
    <w:rsid w:val="00FA465D"/>
    <w:rsid w:val="00FE3C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Normalny Potoczek"/>
    <w:qFormat/>
    <w:rsid w:val="003B399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3B399C"/>
    <w:rPr>
      <w:sz w:val="18"/>
      <w:szCs w:val="18"/>
    </w:rPr>
  </w:style>
  <w:style w:type="character" w:customStyle="1" w:styleId="TekstprzypisudolnegoZnak">
    <w:name w:val="Tekst przypisu dolnego Znak"/>
    <w:basedOn w:val="Domylnaczcionkaakapitu"/>
    <w:link w:val="Tekstprzypisudolnego"/>
    <w:uiPriority w:val="99"/>
    <w:semiHidden/>
    <w:rsid w:val="003B399C"/>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3B399C"/>
    <w:rPr>
      <w:vertAlign w:val="superscript"/>
    </w:rPr>
  </w:style>
  <w:style w:type="paragraph" w:styleId="Nagwek">
    <w:name w:val="header"/>
    <w:basedOn w:val="Normalny"/>
    <w:link w:val="NagwekZnak"/>
    <w:uiPriority w:val="99"/>
    <w:rsid w:val="003B399C"/>
    <w:pPr>
      <w:tabs>
        <w:tab w:val="center" w:pos="4536"/>
        <w:tab w:val="right" w:pos="9072"/>
      </w:tabs>
    </w:pPr>
  </w:style>
  <w:style w:type="character" w:customStyle="1" w:styleId="NagwekZnak">
    <w:name w:val="Nagłówek Znak"/>
    <w:basedOn w:val="Domylnaczcionkaakapitu"/>
    <w:link w:val="Nagwek"/>
    <w:uiPriority w:val="99"/>
    <w:rsid w:val="003B399C"/>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9143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Name SURNAME Times New Roman 12 pt</vt:lpstr>
    </vt:vector>
  </TitlesOfParts>
  <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 Times New Roman 12 pt</dc:title>
  <dc:subject/>
  <dc:creator>Gaja</dc:creator>
  <cp:keywords/>
  <dc:description/>
  <cp:lastModifiedBy>a_gałecka</cp:lastModifiedBy>
  <cp:revision>2</cp:revision>
  <cp:lastPrinted>2014-11-20T08:16:00Z</cp:lastPrinted>
  <dcterms:created xsi:type="dcterms:W3CDTF">2015-02-06T08:59:00Z</dcterms:created>
  <dcterms:modified xsi:type="dcterms:W3CDTF">2015-02-06T08:59:00Z</dcterms:modified>
</cp:coreProperties>
</file>